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6D" w:rsidRPr="0071176D" w:rsidRDefault="0071176D" w:rsidP="0071176D">
      <w:pPr>
        <w:keepNext/>
        <w:adjustRightInd w:val="0"/>
        <w:spacing w:before="180" w:after="180" w:line="720" w:lineRule="atLeast"/>
        <w:jc w:val="center"/>
        <w:textAlignment w:val="baseline"/>
        <w:outlineLvl w:val="0"/>
        <w:rPr>
          <w:rFonts w:asciiTheme="majorHAnsi" w:hAnsi="標楷體" w:cstheme="majorBidi"/>
          <w:spacing w:val="-20"/>
          <w:kern w:val="52"/>
          <w:sz w:val="40"/>
          <w:szCs w:val="40"/>
        </w:rPr>
      </w:pPr>
      <w:r w:rsidRPr="0071176D">
        <w:rPr>
          <w:rFonts w:asciiTheme="majorHAnsi" w:hAnsi="標楷體" w:cstheme="majorBidi" w:hint="eastAsia"/>
          <w:bCs/>
          <w:kern w:val="52"/>
          <w:sz w:val="40"/>
          <w:szCs w:val="40"/>
        </w:rPr>
        <w:t>違反水污染防治法義務所得利益核算及推估辦法</w:t>
      </w:r>
      <w:r w:rsidR="0074380F">
        <w:rPr>
          <w:rFonts w:asciiTheme="majorHAnsi" w:hAnsi="標楷體" w:cstheme="majorBidi" w:hint="eastAsia"/>
          <w:bCs/>
          <w:kern w:val="52"/>
          <w:sz w:val="40"/>
          <w:szCs w:val="40"/>
        </w:rPr>
        <w:t xml:space="preserve">  </w:t>
      </w:r>
      <w:r w:rsidRPr="0071176D">
        <w:rPr>
          <w:rFonts w:asciiTheme="majorHAnsi" w:hAnsi="標楷體" w:cstheme="majorBidi" w:hint="eastAsia"/>
          <w:bCs/>
          <w:kern w:val="52"/>
          <w:sz w:val="40"/>
          <w:szCs w:val="40"/>
        </w:rPr>
        <w:t>總說明</w:t>
      </w:r>
    </w:p>
    <w:p w:rsidR="0071176D" w:rsidRPr="0071176D" w:rsidRDefault="0071176D" w:rsidP="0071176D">
      <w:pPr>
        <w:adjustRightInd w:val="0"/>
        <w:spacing w:before="100" w:beforeAutospacing="1" w:line="460" w:lineRule="exact"/>
        <w:ind w:firstLine="663"/>
        <w:textAlignment w:val="baseline"/>
        <w:rPr>
          <w:rFonts w:ascii="標楷體" w:hAnsi="標楷體"/>
          <w:kern w:val="0"/>
          <w:sz w:val="28"/>
          <w:szCs w:val="28"/>
        </w:rPr>
      </w:pPr>
      <w:r w:rsidRPr="0071176D">
        <w:rPr>
          <w:rFonts w:ascii="標楷體" w:hAnsi="標楷體" w:hint="eastAsia"/>
          <w:kern w:val="0"/>
          <w:sz w:val="28"/>
          <w:szCs w:val="28"/>
        </w:rPr>
        <w:t>過去環保執法以裁處罰鍰為主要制裁手段，對違反水污染防治法</w:t>
      </w:r>
      <w:r w:rsidR="0074380F">
        <w:rPr>
          <w:rFonts w:ascii="標楷體" w:hAnsi="標楷體" w:hint="eastAsia"/>
          <w:kern w:val="0"/>
          <w:sz w:val="28"/>
          <w:szCs w:val="28"/>
        </w:rPr>
        <w:t>（</w:t>
      </w:r>
      <w:r w:rsidRPr="0071176D">
        <w:rPr>
          <w:rFonts w:ascii="標楷體" w:hAnsi="標楷體" w:hint="eastAsia"/>
          <w:kern w:val="0"/>
          <w:sz w:val="28"/>
          <w:szCs w:val="28"/>
        </w:rPr>
        <w:t>以下簡稱本法</w:t>
      </w:r>
      <w:r w:rsidR="0074380F">
        <w:rPr>
          <w:rFonts w:ascii="標楷體" w:hAnsi="標楷體" w:hint="eastAsia"/>
          <w:kern w:val="0"/>
          <w:sz w:val="28"/>
          <w:szCs w:val="28"/>
        </w:rPr>
        <w:t>）</w:t>
      </w:r>
      <w:r w:rsidRPr="0071176D">
        <w:rPr>
          <w:rFonts w:ascii="標楷體" w:hAnsi="標楷體" w:hint="eastAsia"/>
          <w:kern w:val="0"/>
          <w:sz w:val="28"/>
          <w:szCs w:val="28"/>
        </w:rPr>
        <w:t>義務之行為裁處罰鍰，其額度之計算依行政罰法第十八條第二項規定，僅得於所得利益範圍內加重，方不受法定罰鍰</w:t>
      </w:r>
      <w:proofErr w:type="gramStart"/>
      <w:r w:rsidRPr="0071176D">
        <w:rPr>
          <w:rFonts w:ascii="標楷體" w:hAnsi="標楷體" w:hint="eastAsia"/>
          <w:kern w:val="0"/>
          <w:sz w:val="28"/>
          <w:szCs w:val="28"/>
        </w:rPr>
        <w:t>最</w:t>
      </w:r>
      <w:proofErr w:type="gramEnd"/>
      <w:r w:rsidRPr="0071176D">
        <w:rPr>
          <w:rFonts w:ascii="標楷體" w:hAnsi="標楷體" w:hint="eastAsia"/>
          <w:kern w:val="0"/>
          <w:sz w:val="28"/>
          <w:szCs w:val="28"/>
        </w:rPr>
        <w:t>高額之限制，造成主管機關雖剝奪違反本法義務行為者之所得利益，同時卻減輕或免除違反本法義務行為者所應受之制裁，不僅不符合環境正義亦影響企業競爭之公平；遇有長期或重大違反本法義務之行為，行為人可能一方面因違反本法行為而獲有財產上之積極利益，另一方面因依法應支出而未支出或減少支出而受有消極利益，</w:t>
      </w:r>
      <w:proofErr w:type="gramStart"/>
      <w:r w:rsidRPr="0071176D">
        <w:rPr>
          <w:rFonts w:ascii="標楷體" w:hAnsi="標楷體" w:hint="eastAsia"/>
          <w:kern w:val="0"/>
          <w:sz w:val="28"/>
          <w:szCs w:val="28"/>
        </w:rPr>
        <w:t>爰</w:t>
      </w:r>
      <w:proofErr w:type="gramEnd"/>
      <w:r w:rsidRPr="0071176D">
        <w:rPr>
          <w:rFonts w:ascii="標楷體" w:hAnsi="標楷體" w:hint="eastAsia"/>
          <w:kern w:val="0"/>
          <w:sz w:val="28"/>
          <w:szCs w:val="28"/>
        </w:rPr>
        <w:t>此，本法於一百零四年二月四日修正公布，增訂本法第六十六條之二第一項規定，對違反本法義務行為而有所得利益者，除依法處以罰鍰外，並得於所得利益之範圍內予以追繳，以實現環境正義並提升執法公平。</w:t>
      </w:r>
    </w:p>
    <w:p w:rsidR="0071176D" w:rsidRPr="0071176D" w:rsidRDefault="0071176D" w:rsidP="0071176D">
      <w:pPr>
        <w:adjustRightInd w:val="0"/>
        <w:spacing w:before="100" w:beforeAutospacing="1" w:line="460" w:lineRule="exact"/>
        <w:ind w:firstLine="663"/>
        <w:textAlignment w:val="baseline"/>
        <w:rPr>
          <w:rFonts w:ascii="標楷體" w:hAnsi="標楷體"/>
          <w:kern w:val="0"/>
          <w:sz w:val="28"/>
          <w:szCs w:val="28"/>
        </w:rPr>
      </w:pPr>
      <w:r w:rsidRPr="0071176D">
        <w:rPr>
          <w:rFonts w:ascii="標楷體" w:hAnsi="標楷體" w:hint="eastAsia"/>
          <w:kern w:val="0"/>
          <w:sz w:val="28"/>
          <w:szCs w:val="28"/>
        </w:rPr>
        <w:t>依本法第六十六條之二第四項授權規定，由中央主管機關訂定所得利益之核算及推估辦法，行政院環境保護署</w:t>
      </w:r>
      <w:proofErr w:type="gramStart"/>
      <w:r w:rsidRPr="0071176D">
        <w:rPr>
          <w:rFonts w:ascii="標楷體" w:hAnsi="標楷體" w:hint="eastAsia"/>
          <w:kern w:val="0"/>
          <w:sz w:val="28"/>
          <w:szCs w:val="28"/>
        </w:rPr>
        <w:t>爰</w:t>
      </w:r>
      <w:proofErr w:type="gramEnd"/>
      <w:r w:rsidRPr="0071176D">
        <w:rPr>
          <w:rFonts w:ascii="標楷體" w:hAnsi="標楷體" w:hint="eastAsia"/>
          <w:kern w:val="0"/>
          <w:sz w:val="28"/>
          <w:szCs w:val="28"/>
        </w:rPr>
        <w:t>參考國內外裁處不法利得之理論與實務見解，以及近年實務上裁處不法利得之實際案例，擬具「違反水污染防治法義務所得利益核算及推估辦法」，其要點如下：</w:t>
      </w:r>
    </w:p>
    <w:p w:rsidR="0071176D" w:rsidRPr="0071176D" w:rsidRDefault="0071176D" w:rsidP="0071176D">
      <w:pPr>
        <w:adjustRightInd w:val="0"/>
        <w:spacing w:before="100" w:beforeAutospacing="1"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一、法源依據。（第一條）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二、本辦法專用名詞定義。（第二條）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三、</w:t>
      </w:r>
      <w:r w:rsidR="00C6370A" w:rsidRPr="00C6370A">
        <w:rPr>
          <w:rFonts w:ascii="標楷體" w:hAnsi="標楷體" w:hint="eastAsia"/>
          <w:kern w:val="0"/>
          <w:sz w:val="28"/>
          <w:szCs w:val="28"/>
        </w:rPr>
        <w:t>提示主管機關應注意追繳所得利益之重大違規行為。</w:t>
      </w:r>
      <w:r w:rsidRPr="0071176D">
        <w:rPr>
          <w:rFonts w:ascii="標楷體" w:hAnsi="標楷體" w:hint="eastAsia"/>
          <w:kern w:val="0"/>
          <w:sz w:val="28"/>
          <w:szCs w:val="28"/>
        </w:rPr>
        <w:t>（第三條）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四、積極利益類型及其核算、推估方法。（第四條至第六條）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五、消極利益類型及其核算、推估方法。（第七條、第八條）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六、</w:t>
      </w:r>
      <w:r w:rsidR="00332B06" w:rsidRPr="00485F5F">
        <w:rPr>
          <w:rFonts w:ascii="標楷體" w:hAnsi="標楷體" w:hint="eastAsia"/>
          <w:kern w:val="0"/>
          <w:sz w:val="28"/>
          <w:szCs w:val="28"/>
        </w:rPr>
        <w:t>所得利益計算引用之數據、資料來源。（第九條）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七、</w:t>
      </w:r>
      <w:r w:rsidR="00332B06" w:rsidRPr="0071176D">
        <w:rPr>
          <w:rFonts w:ascii="標楷體" w:hAnsi="標楷體" w:hint="eastAsia"/>
          <w:kern w:val="0"/>
          <w:sz w:val="28"/>
          <w:szCs w:val="28"/>
        </w:rPr>
        <w:t>所得利益計算期間認定方式。（第</w:t>
      </w:r>
      <w:r w:rsidR="00332B06">
        <w:rPr>
          <w:rFonts w:ascii="標楷體" w:hAnsi="標楷體" w:hint="eastAsia"/>
          <w:kern w:val="0"/>
          <w:sz w:val="28"/>
          <w:szCs w:val="28"/>
        </w:rPr>
        <w:t>十</w:t>
      </w:r>
      <w:r w:rsidR="00332B06" w:rsidRPr="0071176D">
        <w:rPr>
          <w:rFonts w:ascii="標楷體" w:hAnsi="標楷體" w:hint="eastAsia"/>
          <w:kern w:val="0"/>
          <w:sz w:val="28"/>
          <w:szCs w:val="28"/>
        </w:rPr>
        <w:t>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八、</w:t>
      </w:r>
      <w:r w:rsidR="00332B06" w:rsidRPr="0071176D">
        <w:rPr>
          <w:rFonts w:ascii="標楷體" w:hAnsi="標楷體" w:hint="eastAsia"/>
          <w:kern w:val="0"/>
          <w:sz w:val="28"/>
          <w:szCs w:val="28"/>
        </w:rPr>
        <w:t>主管機關追繳所得利益之核算、推估方法。（第十</w:t>
      </w:r>
      <w:r w:rsidR="00332B06">
        <w:rPr>
          <w:rFonts w:ascii="標楷體" w:hAnsi="標楷體" w:hint="eastAsia"/>
          <w:kern w:val="0"/>
          <w:sz w:val="28"/>
          <w:szCs w:val="28"/>
        </w:rPr>
        <w:t>一</w:t>
      </w:r>
      <w:r w:rsidR="00332B06" w:rsidRPr="0071176D">
        <w:rPr>
          <w:rFonts w:ascii="標楷體" w:hAnsi="標楷體" w:hint="eastAsia"/>
          <w:kern w:val="0"/>
          <w:sz w:val="28"/>
          <w:szCs w:val="28"/>
        </w:rPr>
        <w:t>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九、</w:t>
      </w:r>
      <w:r w:rsidR="00332B06" w:rsidRPr="0074380F">
        <w:rPr>
          <w:rFonts w:ascii="標楷體" w:hAnsi="標楷體" w:hint="eastAsia"/>
          <w:kern w:val="0"/>
          <w:sz w:val="28"/>
          <w:szCs w:val="28"/>
        </w:rPr>
        <w:t>受有利益人</w:t>
      </w:r>
      <w:r w:rsidR="00332B06" w:rsidRPr="00BA5543">
        <w:rPr>
          <w:rFonts w:ascii="標楷體" w:hAnsi="標楷體" w:hint="eastAsia"/>
          <w:kern w:val="0"/>
          <w:sz w:val="28"/>
          <w:szCs w:val="28"/>
        </w:rPr>
        <w:t>之舉證責任</w:t>
      </w:r>
      <w:r w:rsidR="00332B06" w:rsidRPr="0074380F">
        <w:rPr>
          <w:rFonts w:ascii="標楷體" w:hAnsi="標楷體" w:hint="eastAsia"/>
          <w:kern w:val="0"/>
          <w:sz w:val="28"/>
          <w:szCs w:val="28"/>
        </w:rPr>
        <w:t>及</w:t>
      </w:r>
      <w:r w:rsidR="00332B06" w:rsidRPr="00BA5543">
        <w:rPr>
          <w:rFonts w:ascii="標楷體" w:hAnsi="標楷體" w:hint="eastAsia"/>
          <w:kern w:val="0"/>
          <w:sz w:val="28"/>
          <w:szCs w:val="28"/>
        </w:rPr>
        <w:t>得</w:t>
      </w:r>
      <w:r w:rsidR="00332B06" w:rsidRPr="0074380F">
        <w:rPr>
          <w:rFonts w:ascii="標楷體" w:hAnsi="標楷體" w:hint="eastAsia"/>
          <w:kern w:val="0"/>
          <w:sz w:val="28"/>
          <w:szCs w:val="28"/>
        </w:rPr>
        <w:t>請求相關機關（構）</w:t>
      </w:r>
      <w:r w:rsidR="00332B06">
        <w:rPr>
          <w:rFonts w:ascii="標楷體" w:hAnsi="標楷體" w:hint="eastAsia"/>
          <w:kern w:val="0"/>
          <w:sz w:val="28"/>
          <w:szCs w:val="28"/>
        </w:rPr>
        <w:t>協助</w:t>
      </w:r>
      <w:r w:rsidR="00332B06" w:rsidRPr="0071176D">
        <w:rPr>
          <w:rFonts w:ascii="標楷體" w:hAnsi="標楷體" w:hint="eastAsia"/>
          <w:kern w:val="0"/>
          <w:sz w:val="28"/>
          <w:szCs w:val="28"/>
        </w:rPr>
        <w:t>。（第十</w:t>
      </w:r>
      <w:r w:rsidR="00332B06">
        <w:rPr>
          <w:rFonts w:ascii="標楷體" w:hAnsi="標楷體" w:hint="eastAsia"/>
          <w:kern w:val="0"/>
          <w:sz w:val="28"/>
          <w:szCs w:val="28"/>
        </w:rPr>
        <w:t>二</w:t>
      </w:r>
      <w:r w:rsidR="00332B06" w:rsidRPr="0071176D">
        <w:rPr>
          <w:rFonts w:ascii="標楷體" w:hAnsi="標楷體" w:hint="eastAsia"/>
          <w:kern w:val="0"/>
          <w:sz w:val="28"/>
          <w:szCs w:val="28"/>
        </w:rPr>
        <w:t>條）</w:t>
      </w:r>
    </w:p>
    <w:p w:rsidR="0071176D" w:rsidRP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t>十、</w:t>
      </w:r>
      <w:r w:rsidR="00332B06" w:rsidRPr="0071176D">
        <w:rPr>
          <w:rFonts w:ascii="標楷體" w:hAnsi="標楷體" w:hint="eastAsia"/>
          <w:kern w:val="0"/>
          <w:sz w:val="28"/>
          <w:szCs w:val="28"/>
        </w:rPr>
        <w:t>所得利益得委託核算、推估及</w:t>
      </w:r>
      <w:proofErr w:type="gramStart"/>
      <w:r w:rsidR="00332B06" w:rsidRPr="0071176D">
        <w:rPr>
          <w:rFonts w:ascii="標楷體" w:hAnsi="標楷體" w:hint="eastAsia"/>
          <w:kern w:val="0"/>
          <w:sz w:val="28"/>
          <w:szCs w:val="28"/>
        </w:rPr>
        <w:t>專家協審機制</w:t>
      </w:r>
      <w:proofErr w:type="gramEnd"/>
      <w:r w:rsidR="00332B06" w:rsidRPr="0071176D">
        <w:rPr>
          <w:rFonts w:ascii="標楷體" w:hAnsi="標楷體" w:hint="eastAsia"/>
          <w:kern w:val="0"/>
          <w:sz w:val="28"/>
          <w:szCs w:val="28"/>
        </w:rPr>
        <w:t>。（第十</w:t>
      </w:r>
      <w:r w:rsidR="00332B06">
        <w:rPr>
          <w:rFonts w:ascii="標楷體" w:hAnsi="標楷體" w:hint="eastAsia"/>
          <w:kern w:val="0"/>
          <w:sz w:val="28"/>
          <w:szCs w:val="28"/>
        </w:rPr>
        <w:t>三</w:t>
      </w:r>
      <w:r w:rsidR="00332B06" w:rsidRPr="0071176D">
        <w:rPr>
          <w:rFonts w:ascii="標楷體" w:hAnsi="標楷體" w:hint="eastAsia"/>
          <w:kern w:val="0"/>
          <w:sz w:val="28"/>
          <w:szCs w:val="28"/>
        </w:rPr>
        <w:t>條）</w:t>
      </w:r>
    </w:p>
    <w:p w:rsidR="0071176D" w:rsidRDefault="0071176D" w:rsidP="0071176D">
      <w:pPr>
        <w:adjustRightInd w:val="0"/>
        <w:spacing w:line="460" w:lineRule="exact"/>
        <w:ind w:left="560" w:hangingChars="200" w:hanging="560"/>
        <w:textAlignment w:val="baseline"/>
        <w:rPr>
          <w:rFonts w:ascii="標楷體" w:hAnsi="標楷體"/>
          <w:kern w:val="0"/>
          <w:sz w:val="28"/>
          <w:szCs w:val="28"/>
        </w:rPr>
      </w:pPr>
      <w:r w:rsidRPr="0071176D">
        <w:rPr>
          <w:rFonts w:ascii="標楷體" w:hAnsi="標楷體" w:hint="eastAsia"/>
          <w:kern w:val="0"/>
          <w:sz w:val="28"/>
          <w:szCs w:val="28"/>
        </w:rPr>
        <w:lastRenderedPageBreak/>
        <w:t>十一、</w:t>
      </w:r>
      <w:r w:rsidR="00332B06" w:rsidRPr="0071176D">
        <w:rPr>
          <w:rFonts w:ascii="標楷體" w:hAnsi="標楷體" w:hint="eastAsia"/>
          <w:kern w:val="0"/>
          <w:sz w:val="28"/>
          <w:szCs w:val="28"/>
        </w:rPr>
        <w:t>主管機關追繳所得利益與受有利益人之</w:t>
      </w:r>
      <w:r w:rsidR="00AC59EA">
        <w:rPr>
          <w:rFonts w:ascii="標楷體" w:hAnsi="標楷體" w:hint="eastAsia"/>
          <w:kern w:val="0"/>
          <w:sz w:val="28"/>
          <w:szCs w:val="28"/>
        </w:rPr>
        <w:t>協談</w:t>
      </w:r>
      <w:r w:rsidR="00332B06" w:rsidRPr="0071176D">
        <w:rPr>
          <w:rFonts w:ascii="標楷體" w:hAnsi="標楷體" w:hint="eastAsia"/>
          <w:kern w:val="0"/>
          <w:sz w:val="28"/>
          <w:szCs w:val="28"/>
        </w:rPr>
        <w:t>機制。（第十</w:t>
      </w:r>
      <w:r w:rsidR="00332B06">
        <w:rPr>
          <w:rFonts w:ascii="標楷體" w:hAnsi="標楷體" w:hint="eastAsia"/>
          <w:kern w:val="0"/>
          <w:sz w:val="28"/>
          <w:szCs w:val="28"/>
        </w:rPr>
        <w:t>四</w:t>
      </w:r>
      <w:r w:rsidR="00332B06" w:rsidRPr="0071176D">
        <w:rPr>
          <w:rFonts w:ascii="標楷體" w:hAnsi="標楷體" w:hint="eastAsia"/>
          <w:kern w:val="0"/>
          <w:sz w:val="28"/>
          <w:szCs w:val="28"/>
        </w:rPr>
        <w:t>條、第十</w:t>
      </w:r>
      <w:r w:rsidR="00332B06">
        <w:rPr>
          <w:rFonts w:ascii="標楷體" w:hAnsi="標楷體" w:hint="eastAsia"/>
          <w:kern w:val="0"/>
          <w:sz w:val="28"/>
          <w:szCs w:val="28"/>
        </w:rPr>
        <w:t>五</w:t>
      </w:r>
      <w:r w:rsidR="00332B06" w:rsidRPr="0071176D">
        <w:rPr>
          <w:rFonts w:ascii="標楷體" w:hAnsi="標楷體" w:hint="eastAsia"/>
          <w:kern w:val="0"/>
          <w:sz w:val="28"/>
          <w:szCs w:val="28"/>
        </w:rPr>
        <w:t>條）</w:t>
      </w:r>
    </w:p>
    <w:p w:rsidR="00C6370A" w:rsidRDefault="00C6370A" w:rsidP="0071176D">
      <w:pPr>
        <w:adjustRightInd w:val="0"/>
        <w:spacing w:line="460" w:lineRule="exact"/>
        <w:ind w:left="560" w:hangingChars="200" w:hanging="560"/>
        <w:textAlignment w:val="baseline"/>
        <w:rPr>
          <w:rFonts w:ascii="標楷體" w:hAnsi="標楷體"/>
          <w:kern w:val="0"/>
          <w:sz w:val="28"/>
          <w:szCs w:val="28"/>
        </w:rPr>
      </w:pPr>
      <w:r>
        <w:rPr>
          <w:rFonts w:ascii="標楷體" w:hAnsi="標楷體" w:hint="eastAsia"/>
          <w:kern w:val="0"/>
          <w:sz w:val="28"/>
          <w:szCs w:val="28"/>
        </w:rPr>
        <w:t>十二、</w:t>
      </w:r>
      <w:r w:rsidRPr="00C6370A">
        <w:rPr>
          <w:rFonts w:ascii="標楷體" w:hAnsi="標楷體" w:hint="eastAsia"/>
          <w:kern w:val="0"/>
          <w:sz w:val="28"/>
          <w:szCs w:val="28"/>
        </w:rPr>
        <w:t>對本法修正施行前期間之所得利益，其追繳應依行政罰法規定辦理。</w:t>
      </w:r>
      <w:r>
        <w:rPr>
          <w:rFonts w:ascii="標楷體" w:hAnsi="標楷體" w:hint="eastAsia"/>
          <w:kern w:val="0"/>
          <w:sz w:val="28"/>
          <w:szCs w:val="28"/>
        </w:rPr>
        <w:t>(第十六條)</w:t>
      </w:r>
    </w:p>
    <w:p w:rsidR="00332B06" w:rsidRPr="0071176D" w:rsidRDefault="00332B06" w:rsidP="0071176D">
      <w:pPr>
        <w:adjustRightInd w:val="0"/>
        <w:spacing w:line="460" w:lineRule="exact"/>
        <w:ind w:left="560" w:hangingChars="200" w:hanging="560"/>
        <w:textAlignment w:val="baseline"/>
        <w:rPr>
          <w:rFonts w:ascii="標楷體" w:hAnsi="標楷體"/>
          <w:kern w:val="0"/>
          <w:sz w:val="28"/>
          <w:szCs w:val="28"/>
        </w:rPr>
      </w:pPr>
      <w:r>
        <w:rPr>
          <w:rFonts w:ascii="標楷體" w:hAnsi="標楷體" w:hint="eastAsia"/>
          <w:kern w:val="0"/>
          <w:sz w:val="28"/>
          <w:szCs w:val="28"/>
        </w:rPr>
        <w:t>十二、</w:t>
      </w:r>
      <w:r w:rsidRPr="0071176D">
        <w:rPr>
          <w:rFonts w:ascii="標楷體" w:hAnsi="標楷體" w:hint="eastAsia"/>
          <w:kern w:val="0"/>
          <w:sz w:val="28"/>
          <w:szCs w:val="28"/>
        </w:rPr>
        <w:t>本辦法施行日。（第十</w:t>
      </w:r>
      <w:r w:rsidR="00C6370A">
        <w:rPr>
          <w:rFonts w:ascii="標楷體" w:hAnsi="標楷體" w:hint="eastAsia"/>
          <w:kern w:val="0"/>
          <w:sz w:val="28"/>
          <w:szCs w:val="28"/>
        </w:rPr>
        <w:t>七</w:t>
      </w:r>
      <w:r w:rsidRPr="0071176D">
        <w:rPr>
          <w:rFonts w:ascii="標楷體" w:hAnsi="標楷體" w:hint="eastAsia"/>
          <w:kern w:val="0"/>
          <w:sz w:val="28"/>
          <w:szCs w:val="28"/>
        </w:rPr>
        <w:t>條）</w:t>
      </w:r>
    </w:p>
    <w:p w:rsidR="0071176D" w:rsidRPr="0071176D" w:rsidRDefault="0071176D" w:rsidP="0071176D">
      <w:pPr>
        <w:widowControl/>
        <w:rPr>
          <w:rFonts w:ascii="標楷體" w:hAnsi="標楷體"/>
          <w:kern w:val="0"/>
          <w:sz w:val="28"/>
          <w:szCs w:val="28"/>
        </w:rPr>
      </w:pPr>
      <w:r w:rsidRPr="0071176D">
        <w:rPr>
          <w:rFonts w:ascii="標楷體" w:hAnsi="標楷體"/>
          <w:kern w:val="0"/>
          <w:sz w:val="28"/>
          <w:szCs w:val="28"/>
        </w:rPr>
        <w:br w:type="page"/>
      </w:r>
    </w:p>
    <w:p w:rsidR="0071176D" w:rsidRPr="0071176D" w:rsidRDefault="0071176D" w:rsidP="0071176D">
      <w:pPr>
        <w:keepNext/>
        <w:adjustRightInd w:val="0"/>
        <w:spacing w:before="180" w:after="180" w:line="720" w:lineRule="atLeast"/>
        <w:jc w:val="center"/>
        <w:textAlignment w:val="baseline"/>
        <w:outlineLvl w:val="0"/>
        <w:rPr>
          <w:rFonts w:asciiTheme="majorHAnsi" w:hAnsi="標楷體" w:cstheme="majorBidi"/>
          <w:bCs/>
          <w:kern w:val="52"/>
          <w:sz w:val="40"/>
          <w:szCs w:val="40"/>
        </w:rPr>
      </w:pPr>
      <w:r w:rsidRPr="0071176D">
        <w:rPr>
          <w:rFonts w:asciiTheme="majorHAnsi" w:hAnsi="標楷體" w:cstheme="majorBidi" w:hint="eastAsia"/>
          <w:bCs/>
          <w:kern w:val="52"/>
          <w:sz w:val="40"/>
          <w:szCs w:val="40"/>
        </w:rPr>
        <w:lastRenderedPageBreak/>
        <w:t>違反水污染防治法義務所得利益核算及推估辦法</w:t>
      </w:r>
      <w:r w:rsidR="0074380F">
        <w:rPr>
          <w:rFonts w:asciiTheme="majorHAnsi" w:hAnsi="標楷體" w:cstheme="majorBidi" w:hint="eastAsia"/>
          <w:bCs/>
          <w:kern w:val="52"/>
          <w:sz w:val="40"/>
          <w:szCs w:val="40"/>
        </w:rPr>
        <w:t xml:space="preserve">  </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4533"/>
      </w:tblGrid>
      <w:tr w:rsidR="0071176D" w:rsidRPr="0071176D" w:rsidTr="00EC5F86">
        <w:tc>
          <w:tcPr>
            <w:tcW w:w="2500" w:type="pct"/>
            <w:shd w:val="clear" w:color="auto" w:fill="auto"/>
          </w:tcPr>
          <w:p w:rsidR="0071176D" w:rsidRPr="0071176D" w:rsidRDefault="0071176D" w:rsidP="0071176D">
            <w:pPr>
              <w:adjustRightInd w:val="0"/>
              <w:jc w:val="center"/>
              <w:textAlignment w:val="baseline"/>
              <w:rPr>
                <w:rFonts w:ascii="標楷體" w:hAnsi="標楷體"/>
                <w:kern w:val="0"/>
                <w:szCs w:val="24"/>
              </w:rPr>
            </w:pPr>
            <w:r w:rsidRPr="0071176D">
              <w:rPr>
                <w:rFonts w:ascii="標楷體" w:hAnsi="標楷體"/>
                <w:spacing w:val="960"/>
                <w:kern w:val="0"/>
                <w:szCs w:val="24"/>
                <w:fitText w:val="2400" w:id="924102406"/>
              </w:rPr>
              <w:t>條</w:t>
            </w:r>
            <w:r w:rsidRPr="0071176D">
              <w:rPr>
                <w:rFonts w:ascii="標楷體" w:hAnsi="標楷體"/>
                <w:kern w:val="0"/>
                <w:szCs w:val="24"/>
                <w:fitText w:val="2400" w:id="924102406"/>
              </w:rPr>
              <w:t>文</w:t>
            </w:r>
          </w:p>
        </w:tc>
        <w:tc>
          <w:tcPr>
            <w:tcW w:w="2500" w:type="pct"/>
            <w:shd w:val="clear" w:color="auto" w:fill="auto"/>
          </w:tcPr>
          <w:p w:rsidR="0071176D" w:rsidRPr="0071176D" w:rsidRDefault="0071176D" w:rsidP="0071176D">
            <w:pPr>
              <w:adjustRightInd w:val="0"/>
              <w:jc w:val="center"/>
              <w:textAlignment w:val="baseline"/>
              <w:rPr>
                <w:rFonts w:ascii="標楷體" w:hAnsi="標楷體"/>
                <w:kern w:val="0"/>
                <w:szCs w:val="24"/>
              </w:rPr>
            </w:pPr>
            <w:r w:rsidRPr="0071176D">
              <w:rPr>
                <w:rFonts w:ascii="標楷體" w:hAnsi="標楷體"/>
                <w:spacing w:val="960"/>
                <w:kern w:val="0"/>
                <w:szCs w:val="24"/>
                <w:fitText w:val="2400" w:id="924102407"/>
              </w:rPr>
              <w:t>說</w:t>
            </w:r>
            <w:r w:rsidRPr="0071176D">
              <w:rPr>
                <w:rFonts w:ascii="標楷體" w:hAnsi="標楷體"/>
                <w:kern w:val="0"/>
                <w:szCs w:val="24"/>
                <w:fitText w:val="2400" w:id="924102407"/>
              </w:rPr>
              <w:t>明</w:t>
            </w: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t>第一條　本</w:t>
            </w:r>
            <w:r w:rsidRPr="0071176D">
              <w:rPr>
                <w:rFonts w:ascii="標楷體" w:hAnsi="標楷體" w:hint="eastAsia"/>
                <w:kern w:val="0"/>
                <w:szCs w:val="24"/>
              </w:rPr>
              <w:t>辦法</w:t>
            </w:r>
            <w:r w:rsidRPr="0071176D">
              <w:rPr>
                <w:rFonts w:ascii="標楷體" w:hAnsi="標楷體"/>
                <w:kern w:val="0"/>
                <w:szCs w:val="24"/>
              </w:rPr>
              <w:t>依水污染防治法(以下簡稱本法)</w:t>
            </w:r>
            <w:r w:rsidRPr="0071176D">
              <w:rPr>
                <w:rFonts w:ascii="標楷體" w:hAnsi="標楷體" w:hint="eastAsia"/>
                <w:kern w:val="0"/>
                <w:szCs w:val="24"/>
              </w:rPr>
              <w:t>第六十六條之二第四項</w:t>
            </w:r>
            <w:r w:rsidRPr="0071176D">
              <w:rPr>
                <w:rFonts w:ascii="標楷體" w:hAnsi="標楷體"/>
                <w:kern w:val="0"/>
                <w:szCs w:val="24"/>
              </w:rPr>
              <w:t>規定訂定之。</w:t>
            </w:r>
          </w:p>
        </w:tc>
        <w:tc>
          <w:tcPr>
            <w:tcW w:w="2500" w:type="pct"/>
          </w:tcPr>
          <w:p w:rsidR="0071176D" w:rsidRPr="0071176D" w:rsidRDefault="0071176D" w:rsidP="0071176D">
            <w:pPr>
              <w:adjustRightInd w:val="0"/>
              <w:jc w:val="both"/>
              <w:textAlignment w:val="baseline"/>
              <w:rPr>
                <w:rFonts w:ascii="標楷體" w:hAnsi="標楷體"/>
                <w:kern w:val="0"/>
                <w:szCs w:val="24"/>
              </w:rPr>
            </w:pPr>
            <w:r w:rsidRPr="0071176D">
              <w:rPr>
                <w:rFonts w:ascii="標楷體" w:hAnsi="標楷體"/>
                <w:kern w:val="0"/>
                <w:szCs w:val="24"/>
              </w:rPr>
              <w:t>本</w:t>
            </w:r>
            <w:r w:rsidRPr="0071176D">
              <w:rPr>
                <w:rFonts w:ascii="標楷體" w:hAnsi="標楷體" w:hint="eastAsia"/>
                <w:kern w:val="0"/>
                <w:szCs w:val="24"/>
              </w:rPr>
              <w:t>辦法訂定依據。</w:t>
            </w: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t>第</w:t>
            </w:r>
            <w:r w:rsidRPr="0071176D">
              <w:rPr>
                <w:rFonts w:ascii="標楷體" w:hAnsi="標楷體" w:hint="eastAsia"/>
                <w:kern w:val="0"/>
                <w:szCs w:val="24"/>
              </w:rPr>
              <w:t>二</w:t>
            </w:r>
            <w:r w:rsidRPr="0071176D">
              <w:rPr>
                <w:rFonts w:ascii="標楷體" w:hAnsi="標楷體"/>
                <w:kern w:val="0"/>
                <w:szCs w:val="24"/>
              </w:rPr>
              <w:t xml:space="preserve">條　</w:t>
            </w:r>
            <w:r w:rsidRPr="0071176D">
              <w:rPr>
                <w:rFonts w:ascii="標楷體" w:hAnsi="標楷體" w:hint="eastAsia"/>
                <w:kern w:val="0"/>
                <w:szCs w:val="24"/>
              </w:rPr>
              <w:t>本辦法專用名詞，定義如下：</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一、積極利益：因違反本法義務而獲有財產上收入增加利益之營業淨利、對價或報酬。</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二、消極利益：因違反本法義務應支出而未支出或節省費用減少支出之所得利益，指規避、延遲或減少支出獲有之利益。</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三、營業收入：受有利益人於所得利益計算期間依所得稅法申報之營業收入。</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四、營業淨利：營業收入扣除營業成本、管理及事務費用之獲利。</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五、利潤率：以受有利益人之營業淨利為分子，營業收入為分母計算所得數值為利潤率。但經主管機關認定提供資料完整者，得適用財政部稅務行業標準分類暨同業利潤標準之各業所得額標準；未能於期限內提供或經主管機關認定提供資料不完整者，得適用同業利潤標準所屬行業淨利率。該年度所得額標準或同業利潤標準尚未公告時，以前</w:t>
            </w:r>
            <w:proofErr w:type="gramStart"/>
            <w:r w:rsidRPr="0071176D">
              <w:rPr>
                <w:rFonts w:ascii="標楷體" w:hAnsi="標楷體" w:hint="eastAsia"/>
                <w:kern w:val="0"/>
                <w:szCs w:val="24"/>
              </w:rPr>
              <w:t>一</w:t>
            </w:r>
            <w:proofErr w:type="gramEnd"/>
            <w:r w:rsidRPr="0071176D">
              <w:rPr>
                <w:rFonts w:ascii="標楷體" w:hAnsi="標楷體" w:hint="eastAsia"/>
                <w:kern w:val="0"/>
                <w:szCs w:val="24"/>
              </w:rPr>
              <w:t>年度為</w:t>
            </w:r>
            <w:proofErr w:type="gramStart"/>
            <w:r w:rsidRPr="0071176D">
              <w:rPr>
                <w:rFonts w:ascii="標楷體" w:hAnsi="標楷體" w:hint="eastAsia"/>
                <w:kern w:val="0"/>
                <w:szCs w:val="24"/>
              </w:rPr>
              <w:t>準</w:t>
            </w:r>
            <w:proofErr w:type="gramEnd"/>
            <w:r w:rsidRPr="0071176D">
              <w:rPr>
                <w:rFonts w:ascii="標楷體" w:hAnsi="標楷體" w:hint="eastAsia"/>
                <w:kern w:val="0"/>
                <w:szCs w:val="24"/>
              </w:rPr>
              <w:t>。</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六、違法水量：所得利益計算</w:t>
            </w:r>
            <w:proofErr w:type="gramStart"/>
            <w:r w:rsidRPr="0071176D">
              <w:rPr>
                <w:rFonts w:ascii="標楷體" w:hAnsi="標楷體" w:hint="eastAsia"/>
                <w:kern w:val="0"/>
                <w:szCs w:val="24"/>
              </w:rPr>
              <w:t>期間，</w:t>
            </w:r>
            <w:proofErr w:type="gramEnd"/>
            <w:r w:rsidRPr="0071176D">
              <w:rPr>
                <w:rFonts w:ascii="標楷體" w:hAnsi="標楷體" w:hint="eastAsia"/>
                <w:kern w:val="0"/>
                <w:szCs w:val="24"/>
              </w:rPr>
              <w:t>因違反本法行為之廢（污）水量總和。</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七、總水量：所得利益計算期間之廢（污）水量總和。</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八、所得利益總和：依本辦法核算推估之積極利益及消極利益，及依所得利益期間按日加計利息之總和。</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lastRenderedPageBreak/>
              <w:t>九、受有利益人：指因違反本法義務受有所得利益之行為人或他人。</w:t>
            </w:r>
          </w:p>
        </w:tc>
        <w:tc>
          <w:tcPr>
            <w:tcW w:w="2500" w:type="pct"/>
          </w:tcPr>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lastRenderedPageBreak/>
              <w:t>一、本辦法專用名詞定義。</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w:t>
            </w:r>
            <w:proofErr w:type="gramStart"/>
            <w:r w:rsidRPr="0071176D">
              <w:rPr>
                <w:rFonts w:ascii="標楷體" w:hAnsi="標楷體" w:hint="eastAsia"/>
                <w:kern w:val="0"/>
                <w:szCs w:val="24"/>
              </w:rPr>
              <w:t>第四款係參考</w:t>
            </w:r>
            <w:proofErr w:type="gramEnd"/>
            <w:r w:rsidRPr="0071176D">
              <w:rPr>
                <w:rFonts w:ascii="標楷體" w:hAnsi="標楷體" w:hint="eastAsia"/>
                <w:kern w:val="0"/>
                <w:szCs w:val="24"/>
              </w:rPr>
              <w:t>所得稅法施行細則</w:t>
            </w:r>
            <w:proofErr w:type="gramStart"/>
            <w:r w:rsidRPr="0071176D">
              <w:rPr>
                <w:rFonts w:ascii="標楷體" w:hAnsi="標楷體" w:hint="eastAsia"/>
                <w:kern w:val="0"/>
                <w:szCs w:val="24"/>
              </w:rPr>
              <w:t>第三十一條定之</w:t>
            </w:r>
            <w:proofErr w:type="gramEnd"/>
            <w:r w:rsidRPr="0071176D">
              <w:rPr>
                <w:rFonts w:ascii="標楷體" w:hAnsi="標楷體" w:hint="eastAsia"/>
                <w:kern w:val="0"/>
                <w:szCs w:val="24"/>
              </w:rPr>
              <w:t>。</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三、第五款經主管機關認定提供資料完整者，考量其稽查配合度良好，可給予較寬鬆之稅務標準，</w:t>
            </w:r>
            <w:proofErr w:type="gramStart"/>
            <w:r w:rsidRPr="0071176D">
              <w:rPr>
                <w:rFonts w:ascii="標楷體" w:hAnsi="標楷體" w:hint="eastAsia"/>
                <w:kern w:val="0"/>
                <w:szCs w:val="24"/>
              </w:rPr>
              <w:t>爰</w:t>
            </w:r>
            <w:proofErr w:type="gramEnd"/>
            <w:r w:rsidRPr="0071176D">
              <w:rPr>
                <w:rFonts w:ascii="標楷體" w:hAnsi="標楷體" w:hint="eastAsia"/>
                <w:kern w:val="0"/>
                <w:szCs w:val="24"/>
              </w:rPr>
              <w:t>以所得額標準認定之；而未能於期限內提供或經主管機關認定提供資料不完整者，則給予較為嚴苛之稅務標準，</w:t>
            </w:r>
            <w:proofErr w:type="gramStart"/>
            <w:r w:rsidRPr="0071176D">
              <w:rPr>
                <w:rFonts w:ascii="標楷體" w:hAnsi="標楷體" w:hint="eastAsia"/>
                <w:kern w:val="0"/>
                <w:szCs w:val="24"/>
              </w:rPr>
              <w:t>爰</w:t>
            </w:r>
            <w:proofErr w:type="gramEnd"/>
            <w:r w:rsidRPr="0071176D">
              <w:rPr>
                <w:rFonts w:ascii="標楷體" w:hAnsi="標楷體" w:hint="eastAsia"/>
                <w:kern w:val="0"/>
                <w:szCs w:val="24"/>
              </w:rPr>
              <w:t>以同業利潤標準之淨利率認定之。</w:t>
            </w: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lastRenderedPageBreak/>
              <w:t>第</w:t>
            </w:r>
            <w:r w:rsidRPr="0071176D">
              <w:rPr>
                <w:rFonts w:ascii="標楷體" w:hAnsi="標楷體" w:hint="eastAsia"/>
                <w:kern w:val="0"/>
                <w:szCs w:val="24"/>
              </w:rPr>
              <w:t>三</w:t>
            </w:r>
            <w:r w:rsidRPr="0071176D">
              <w:rPr>
                <w:rFonts w:ascii="標楷體" w:hAnsi="標楷體"/>
                <w:kern w:val="0"/>
                <w:szCs w:val="24"/>
              </w:rPr>
              <w:t xml:space="preserve">條　</w:t>
            </w:r>
            <w:r w:rsidRPr="0071176D">
              <w:rPr>
                <w:rFonts w:ascii="標楷體" w:hAnsi="標楷體" w:hint="eastAsia"/>
                <w:kern w:val="0"/>
                <w:szCs w:val="24"/>
              </w:rPr>
              <w:t>排放廢（污）水中含有害健康物質、大量污染物</w:t>
            </w:r>
            <w:r w:rsidR="00307B4D">
              <w:rPr>
                <w:rFonts w:ascii="標楷體" w:hAnsi="標楷體" w:hint="eastAsia"/>
                <w:kern w:val="0"/>
                <w:szCs w:val="24"/>
              </w:rPr>
              <w:t>等</w:t>
            </w:r>
            <w:r w:rsidR="00E251CC">
              <w:rPr>
                <w:rFonts w:ascii="標楷體" w:hAnsi="標楷體" w:hint="eastAsia"/>
                <w:kern w:val="0"/>
                <w:szCs w:val="24"/>
              </w:rPr>
              <w:t>致</w:t>
            </w:r>
            <w:r w:rsidRPr="0071176D">
              <w:rPr>
                <w:rFonts w:ascii="標楷體" w:hAnsi="標楷體" w:hint="eastAsia"/>
                <w:kern w:val="0"/>
                <w:szCs w:val="24"/>
              </w:rPr>
              <w:t>污染水體、危害公眾健康、農漁業生產、飲用水水源或嚴重影響水體品質之虞等違反本法義務行為，且有所得利益者，主管機關得依本法第六十六條之二規定追繳。</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主管機關發現下列</w:t>
            </w:r>
            <w:r w:rsidRPr="00732380">
              <w:rPr>
                <w:rFonts w:ascii="標楷體" w:hAnsi="標楷體" w:hint="eastAsia"/>
                <w:kern w:val="0"/>
                <w:szCs w:val="24"/>
              </w:rPr>
              <w:t>行為</w:t>
            </w:r>
            <w:r w:rsidRPr="0071176D">
              <w:rPr>
                <w:rFonts w:ascii="標楷體" w:hAnsi="標楷體" w:hint="eastAsia"/>
                <w:kern w:val="0"/>
                <w:szCs w:val="24"/>
              </w:rPr>
              <w:t>，應注意該違反本法義務行為有所得利益</w:t>
            </w:r>
            <w:r w:rsidR="00777063">
              <w:rPr>
                <w:rFonts w:ascii="標楷體" w:hAnsi="標楷體" w:hint="eastAsia"/>
                <w:kern w:val="0"/>
                <w:szCs w:val="24"/>
              </w:rPr>
              <w:t>者</w:t>
            </w:r>
            <w:r w:rsidRPr="0071176D">
              <w:rPr>
                <w:rFonts w:ascii="標楷體" w:hAnsi="標楷體" w:hint="eastAsia"/>
                <w:kern w:val="0"/>
                <w:szCs w:val="24"/>
              </w:rPr>
              <w:t>，</w:t>
            </w:r>
            <w:r w:rsidR="00B615A8">
              <w:rPr>
                <w:rFonts w:ascii="標楷體" w:hAnsi="標楷體" w:hint="eastAsia"/>
                <w:kern w:val="0"/>
                <w:szCs w:val="24"/>
              </w:rPr>
              <w:t>予以</w:t>
            </w:r>
            <w:r w:rsidRPr="0071176D">
              <w:rPr>
                <w:rFonts w:ascii="標楷體" w:hAnsi="標楷體" w:hint="eastAsia"/>
                <w:kern w:val="0"/>
                <w:szCs w:val="24"/>
              </w:rPr>
              <w:t>追繳</w:t>
            </w:r>
            <w:r w:rsidRPr="0071176D">
              <w:rPr>
                <w:rFonts w:ascii="標楷體" w:hAnsi="標楷體"/>
                <w:kern w:val="0"/>
                <w:szCs w:val="24"/>
              </w:rPr>
              <w:t>:</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一、違反本法第七條第一項放流水標準，且有下列情形之</w:t>
            </w:r>
            <w:proofErr w:type="gramStart"/>
            <w:r w:rsidRPr="0071176D">
              <w:rPr>
                <w:rFonts w:ascii="標楷體" w:hAnsi="標楷體" w:hint="eastAsia"/>
                <w:kern w:val="0"/>
                <w:szCs w:val="24"/>
              </w:rPr>
              <w:t>一</w:t>
            </w:r>
            <w:proofErr w:type="gramEnd"/>
            <w:r w:rsidRPr="0071176D">
              <w:rPr>
                <w:rFonts w:ascii="標楷體" w:hAnsi="標楷體" w:hint="eastAsia"/>
                <w:kern w:val="0"/>
                <w:szCs w:val="24"/>
              </w:rPr>
              <w:t>：</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（一）排放廢（污）水中污染物濃度超過放流水標準值五倍以上。但</w:t>
            </w:r>
            <w:r w:rsidR="00B615A8">
              <w:rPr>
                <w:rFonts w:ascii="標楷體" w:hAnsi="標楷體" w:hint="eastAsia"/>
                <w:kern w:val="0"/>
                <w:szCs w:val="24"/>
              </w:rPr>
              <w:t>不包括</w:t>
            </w:r>
            <w:r w:rsidRPr="0071176D">
              <w:rPr>
                <w:rFonts w:ascii="標楷體" w:hAnsi="標楷體" w:hint="eastAsia"/>
                <w:kern w:val="0"/>
                <w:szCs w:val="24"/>
              </w:rPr>
              <w:t>氫離子濃度指數、大腸桿菌群及水溫。</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（二）排放廢（污）</w:t>
            </w:r>
            <w:proofErr w:type="gramStart"/>
            <w:r w:rsidRPr="0071176D">
              <w:rPr>
                <w:rFonts w:ascii="標楷體" w:hAnsi="標楷體" w:hint="eastAsia"/>
                <w:kern w:val="0"/>
                <w:szCs w:val="24"/>
              </w:rPr>
              <w:t>水中氫離子</w:t>
            </w:r>
            <w:proofErr w:type="gramEnd"/>
            <w:r w:rsidRPr="0071176D">
              <w:rPr>
                <w:rFonts w:ascii="標楷體" w:hAnsi="標楷體" w:hint="eastAsia"/>
                <w:kern w:val="0"/>
                <w:szCs w:val="24"/>
              </w:rPr>
              <w:t>濃度指數小於二或大於十一。</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二、違反本法第八條規定，未妥善處理、任意放置或棄置污泥。</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三、違反本法第十四條第一項、第二十條第一項或第三十二條第一項規定，未取得水污染防治許可證（文件）者。</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四、違反本法第十八條之一第一項、第二項或第四項有關廢（污）</w:t>
            </w:r>
            <w:proofErr w:type="gramStart"/>
            <w:r w:rsidRPr="0071176D">
              <w:rPr>
                <w:rFonts w:ascii="標楷體" w:hAnsi="標楷體" w:hint="eastAsia"/>
                <w:kern w:val="0"/>
                <w:szCs w:val="24"/>
              </w:rPr>
              <w:t>水繞流</w:t>
            </w:r>
            <w:proofErr w:type="gramEnd"/>
            <w:r w:rsidRPr="0071176D">
              <w:rPr>
                <w:rFonts w:ascii="標楷體" w:hAnsi="標楷體" w:hint="eastAsia"/>
                <w:kern w:val="0"/>
                <w:szCs w:val="24"/>
              </w:rPr>
              <w:t>排放、</w:t>
            </w:r>
            <w:proofErr w:type="gramStart"/>
            <w:r w:rsidRPr="0071176D">
              <w:rPr>
                <w:rFonts w:ascii="標楷體" w:hAnsi="標楷體" w:hint="eastAsia"/>
                <w:kern w:val="0"/>
                <w:szCs w:val="24"/>
              </w:rPr>
              <w:t>於廢</w:t>
            </w:r>
            <w:proofErr w:type="gramEnd"/>
            <w:r w:rsidRPr="0071176D">
              <w:rPr>
                <w:rFonts w:ascii="標楷體" w:hAnsi="標楷體" w:hint="eastAsia"/>
                <w:kern w:val="0"/>
                <w:szCs w:val="24"/>
              </w:rPr>
              <w:t>（污）水排放</w:t>
            </w:r>
            <w:r w:rsidRPr="0071176D">
              <w:rPr>
                <w:rFonts w:ascii="標楷體" w:hAnsi="標楷體"/>
                <w:kern w:val="0"/>
                <w:szCs w:val="24"/>
              </w:rPr>
              <w:t>(入)前與無需處理即能符合標準之水混合稀釋及排放、廢（污）水（前）處理設施功能不足或未正常操作等規定。</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五、違反本法第二十一條，未依規定設置廢（污）水處理專責單位或人員</w:t>
            </w:r>
            <w:r w:rsidR="00415BCB">
              <w:rPr>
                <w:rFonts w:ascii="標楷體" w:hAnsi="標楷體" w:hint="eastAsia"/>
                <w:kern w:val="0"/>
                <w:szCs w:val="24"/>
              </w:rPr>
              <w:t>，或</w:t>
            </w:r>
            <w:r w:rsidR="00415BCB" w:rsidRPr="00415BCB">
              <w:rPr>
                <w:rFonts w:ascii="標楷體" w:hAnsi="標楷體" w:hint="eastAsia"/>
                <w:kern w:val="0"/>
                <w:szCs w:val="24"/>
              </w:rPr>
              <w:t>廢（污）水</w:t>
            </w:r>
            <w:r w:rsidR="00415BCB">
              <w:rPr>
                <w:rFonts w:ascii="標楷體" w:hAnsi="標楷體" w:hint="eastAsia"/>
                <w:kern w:val="0"/>
                <w:szCs w:val="24"/>
              </w:rPr>
              <w:t>處理專責人員有虛偽設置情形者</w:t>
            </w:r>
            <w:r w:rsidRPr="0071176D">
              <w:rPr>
                <w:rFonts w:ascii="標楷體" w:hAnsi="標楷體" w:hint="eastAsia"/>
                <w:kern w:val="0"/>
                <w:szCs w:val="24"/>
              </w:rPr>
              <w:t>。</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六、違反本法第二十三條第二項，未</w:t>
            </w:r>
            <w:r w:rsidRPr="0071176D">
              <w:rPr>
                <w:rFonts w:ascii="標楷體" w:hAnsi="標楷體" w:hint="eastAsia"/>
                <w:kern w:val="0"/>
                <w:szCs w:val="24"/>
              </w:rPr>
              <w:lastRenderedPageBreak/>
              <w:t>依規定執行水質（量）檢驗測定業務而出具不實或虛偽檢測報告。</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七、違反本法規定經處分後，自報停工或停業改善，經查證非屬實者。</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八、</w:t>
            </w:r>
            <w:proofErr w:type="gramStart"/>
            <w:r w:rsidRPr="0071176D">
              <w:rPr>
                <w:rFonts w:ascii="標楷體" w:hAnsi="標楷體" w:hint="eastAsia"/>
                <w:kern w:val="0"/>
                <w:szCs w:val="24"/>
              </w:rPr>
              <w:t>不</w:t>
            </w:r>
            <w:proofErr w:type="gramEnd"/>
            <w:r w:rsidRPr="0071176D">
              <w:rPr>
                <w:rFonts w:ascii="標楷體" w:hAnsi="標楷體" w:hint="eastAsia"/>
                <w:kern w:val="0"/>
                <w:szCs w:val="24"/>
              </w:rPr>
              <w:t>遵行主管機關之停工、停業、歇業或停止污染行為之命令者。</w:t>
            </w:r>
          </w:p>
        </w:tc>
        <w:tc>
          <w:tcPr>
            <w:tcW w:w="2500" w:type="pct"/>
          </w:tcPr>
          <w:p w:rsidR="0071176D" w:rsidRPr="0071176D" w:rsidRDefault="00B615A8" w:rsidP="00B615A8">
            <w:pPr>
              <w:adjustRightInd w:val="0"/>
              <w:jc w:val="both"/>
              <w:textAlignment w:val="baseline"/>
              <w:rPr>
                <w:rFonts w:ascii="標楷體" w:hAnsi="標楷體"/>
                <w:kern w:val="0"/>
                <w:szCs w:val="24"/>
              </w:rPr>
            </w:pPr>
            <w:r>
              <w:rPr>
                <w:rFonts w:ascii="標楷體" w:hAnsi="標楷體" w:hint="eastAsia"/>
                <w:kern w:val="0"/>
                <w:szCs w:val="24"/>
              </w:rPr>
              <w:lastRenderedPageBreak/>
              <w:t>提示</w:t>
            </w:r>
            <w:r w:rsidR="0071176D" w:rsidRPr="0071176D">
              <w:rPr>
                <w:rFonts w:ascii="標楷體" w:hAnsi="標楷體" w:hint="eastAsia"/>
                <w:kern w:val="0"/>
                <w:szCs w:val="24"/>
              </w:rPr>
              <w:t>主管機關</w:t>
            </w:r>
            <w:r>
              <w:rPr>
                <w:rFonts w:ascii="標楷體" w:hAnsi="標楷體" w:hint="eastAsia"/>
                <w:kern w:val="0"/>
                <w:szCs w:val="24"/>
              </w:rPr>
              <w:t>應注意</w:t>
            </w:r>
            <w:r w:rsidR="0071176D" w:rsidRPr="0071176D">
              <w:rPr>
                <w:rFonts w:ascii="標楷體" w:hAnsi="標楷體" w:hint="eastAsia"/>
                <w:kern w:val="0"/>
                <w:szCs w:val="24"/>
              </w:rPr>
              <w:t>追繳所得利益</w:t>
            </w:r>
            <w:r>
              <w:rPr>
                <w:rFonts w:ascii="標楷體" w:hAnsi="標楷體" w:hint="eastAsia"/>
                <w:kern w:val="0"/>
                <w:szCs w:val="24"/>
              </w:rPr>
              <w:t>之重大違規行為</w:t>
            </w:r>
            <w:r w:rsidR="0071176D" w:rsidRPr="0071176D">
              <w:rPr>
                <w:rFonts w:ascii="標楷體" w:hAnsi="標楷體" w:hint="eastAsia"/>
                <w:kern w:val="0"/>
                <w:szCs w:val="24"/>
              </w:rPr>
              <w:t>。</w:t>
            </w: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cs="標楷體"/>
                <w:kern w:val="0"/>
                <w:szCs w:val="24"/>
                <w:lang w:val="zh-TW" w:bidi="ne-NP"/>
              </w:rPr>
            </w:pPr>
            <w:r w:rsidRPr="0071176D">
              <w:rPr>
                <w:rFonts w:ascii="標楷體" w:hAnsi="標楷體"/>
                <w:kern w:val="0"/>
                <w:szCs w:val="24"/>
              </w:rPr>
              <w:lastRenderedPageBreak/>
              <w:t>第</w:t>
            </w:r>
            <w:r w:rsidRPr="0071176D">
              <w:rPr>
                <w:rFonts w:ascii="標楷體" w:hAnsi="標楷體" w:hint="eastAsia"/>
                <w:kern w:val="0"/>
                <w:szCs w:val="24"/>
              </w:rPr>
              <w:t>四</w:t>
            </w:r>
            <w:r w:rsidRPr="0071176D">
              <w:rPr>
                <w:rFonts w:ascii="標楷體" w:hAnsi="標楷體"/>
                <w:kern w:val="0"/>
                <w:szCs w:val="24"/>
              </w:rPr>
              <w:t xml:space="preserve">條　</w:t>
            </w:r>
            <w:r w:rsidRPr="0071176D">
              <w:rPr>
                <w:rFonts w:ascii="標楷體" w:hAnsi="標楷體" w:hint="eastAsia"/>
                <w:kern w:val="0"/>
                <w:szCs w:val="24"/>
              </w:rPr>
              <w:t>積極利益分為下列二類：</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cs="標楷體" w:hint="eastAsia"/>
                <w:kern w:val="0"/>
                <w:szCs w:val="24"/>
                <w:lang w:val="zh-TW" w:bidi="ne-NP"/>
              </w:rPr>
              <w:t>一、違反本法義務行為期間所產生之營業淨利</w:t>
            </w:r>
            <w:r w:rsidRPr="0071176D">
              <w:rPr>
                <w:rFonts w:ascii="標楷體" w:hAnsi="標楷體" w:cs="標楷體" w:hint="eastAsia"/>
                <w:kern w:val="0"/>
                <w:szCs w:val="24"/>
                <w:lang w:bidi="ne-NP"/>
              </w:rPr>
              <w:t>、對價或報酬</w:t>
            </w:r>
            <w:r w:rsidR="008554BF">
              <w:rPr>
                <w:rFonts w:ascii="標楷體" w:hAnsi="標楷體" w:hint="eastAsia"/>
                <w:kern w:val="0"/>
                <w:szCs w:val="24"/>
              </w:rPr>
              <w:t>，且</w:t>
            </w:r>
            <w:r w:rsidR="008554BF" w:rsidRPr="00E4691B">
              <w:rPr>
                <w:rFonts w:ascii="標楷體" w:hAnsi="標楷體" w:hint="eastAsia"/>
                <w:kern w:val="0"/>
                <w:szCs w:val="24"/>
              </w:rPr>
              <w:t>與違反本法義務有關者</w:t>
            </w:r>
            <w:r w:rsidRPr="0071176D">
              <w:rPr>
                <w:rFonts w:ascii="標楷體" w:hAnsi="標楷體" w:cs="標楷體" w:hint="eastAsia"/>
                <w:kern w:val="0"/>
                <w:szCs w:val="24"/>
                <w:lang w:val="zh-TW" w:bidi="ne-NP"/>
              </w:rPr>
              <w:t>。</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二、他人與違反本法義務受處分對象有契約或其他法律關係，</w:t>
            </w:r>
            <w:r w:rsidR="00E4691B">
              <w:rPr>
                <w:rFonts w:ascii="標楷體" w:hAnsi="標楷體" w:hint="eastAsia"/>
                <w:kern w:val="0"/>
                <w:szCs w:val="24"/>
              </w:rPr>
              <w:t>直接</w:t>
            </w:r>
            <w:r w:rsidRPr="0071176D">
              <w:rPr>
                <w:rFonts w:ascii="標楷體" w:hAnsi="標楷體" w:hint="eastAsia"/>
                <w:kern w:val="0"/>
                <w:szCs w:val="24"/>
              </w:rPr>
              <w:t>因</w:t>
            </w:r>
            <w:r w:rsidRPr="0071176D">
              <w:rPr>
                <w:rFonts w:ascii="標楷體" w:hAnsi="標楷體" w:cs="標楷體" w:hint="eastAsia"/>
                <w:kern w:val="0"/>
                <w:szCs w:val="24"/>
                <w:lang w:val="zh-TW" w:bidi="ne-NP"/>
              </w:rPr>
              <w:t>違反</w:t>
            </w:r>
            <w:r w:rsidRPr="0071176D">
              <w:rPr>
                <w:rFonts w:ascii="標楷體" w:hAnsi="標楷體" w:hint="eastAsia"/>
                <w:kern w:val="0"/>
                <w:szCs w:val="24"/>
              </w:rPr>
              <w:t>本法義務行為而受有之財產收入、報酬或對價等經濟利益。</w:t>
            </w:r>
          </w:p>
        </w:tc>
        <w:tc>
          <w:tcPr>
            <w:tcW w:w="2500" w:type="pct"/>
          </w:tcPr>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一、積極利益類型。</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二、第二款所稱他人與違反本法義務受處罰者，指本法第六十六條之二第二</w:t>
            </w:r>
            <w:r w:rsidR="0074380F">
              <w:rPr>
                <w:rFonts w:ascii="標楷體" w:hAnsi="標楷體" w:hint="eastAsia"/>
                <w:kern w:val="0"/>
                <w:szCs w:val="24"/>
              </w:rPr>
              <w:t>項</w:t>
            </w:r>
            <w:r w:rsidRPr="0071176D">
              <w:rPr>
                <w:rFonts w:ascii="標楷體" w:hAnsi="標楷體" w:hint="eastAsia"/>
                <w:kern w:val="0"/>
                <w:szCs w:val="24"/>
              </w:rPr>
              <w:t>、第三項所稱他人與違反本法義務受處罰者。</w:t>
            </w:r>
          </w:p>
          <w:p w:rsidR="0071176D" w:rsidRPr="0071176D" w:rsidRDefault="0071176D" w:rsidP="0071176D">
            <w:pPr>
              <w:adjustRightInd w:val="0"/>
              <w:ind w:left="480" w:hangingChars="200" w:hanging="480"/>
              <w:jc w:val="both"/>
              <w:textAlignment w:val="baseline"/>
              <w:rPr>
                <w:rFonts w:ascii="標楷體" w:hAnsi="標楷體"/>
                <w:kern w:val="0"/>
                <w:szCs w:val="24"/>
              </w:rPr>
            </w:pP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t>第</w:t>
            </w:r>
            <w:r w:rsidRPr="0071176D">
              <w:rPr>
                <w:rFonts w:ascii="標楷體" w:hAnsi="標楷體" w:hint="eastAsia"/>
                <w:kern w:val="0"/>
                <w:szCs w:val="24"/>
              </w:rPr>
              <w:t>五</w:t>
            </w:r>
            <w:r w:rsidRPr="0071176D">
              <w:rPr>
                <w:rFonts w:ascii="標楷體" w:hAnsi="標楷體"/>
                <w:kern w:val="0"/>
                <w:szCs w:val="24"/>
              </w:rPr>
              <w:t xml:space="preserve">條　</w:t>
            </w:r>
            <w:r w:rsidRPr="0071176D">
              <w:rPr>
                <w:rFonts w:ascii="標楷體" w:hAnsi="標楷體" w:hint="eastAsia"/>
                <w:kern w:val="0"/>
                <w:szCs w:val="24"/>
              </w:rPr>
              <w:t>前條積極利益之產生與廢（污）水量有關者，得以下列方式之</w:t>
            </w:r>
            <w:proofErr w:type="gramStart"/>
            <w:r w:rsidRPr="0071176D">
              <w:rPr>
                <w:rFonts w:ascii="標楷體" w:hAnsi="標楷體" w:hint="eastAsia"/>
                <w:kern w:val="0"/>
                <w:szCs w:val="24"/>
              </w:rPr>
              <w:t>一</w:t>
            </w:r>
            <w:proofErr w:type="gramEnd"/>
            <w:r w:rsidRPr="0071176D">
              <w:rPr>
                <w:rFonts w:ascii="標楷體" w:hAnsi="標楷體" w:hint="eastAsia"/>
                <w:kern w:val="0"/>
                <w:szCs w:val="24"/>
              </w:rPr>
              <w:t>計算，</w:t>
            </w:r>
            <w:r w:rsidR="00C6370A">
              <w:rPr>
                <w:rFonts w:ascii="標楷體" w:hAnsi="標楷體" w:hint="eastAsia"/>
                <w:kern w:val="0"/>
                <w:szCs w:val="24"/>
              </w:rPr>
              <w:t>有</w:t>
            </w:r>
            <w:r w:rsidR="00B615A8">
              <w:rPr>
                <w:rFonts w:ascii="標楷體" w:hAnsi="標楷體" w:hint="eastAsia"/>
                <w:kern w:val="0"/>
                <w:szCs w:val="24"/>
              </w:rPr>
              <w:t>不同方式</w:t>
            </w:r>
            <w:r w:rsidR="00C6370A">
              <w:rPr>
                <w:rFonts w:ascii="標楷體" w:hAnsi="標楷體" w:hint="eastAsia"/>
                <w:kern w:val="0"/>
                <w:szCs w:val="24"/>
              </w:rPr>
              <w:t>之</w:t>
            </w:r>
            <w:r w:rsidRPr="0071176D">
              <w:rPr>
                <w:rFonts w:ascii="標楷體" w:hAnsi="標楷體" w:hint="eastAsia"/>
                <w:kern w:val="0"/>
                <w:szCs w:val="24"/>
              </w:rPr>
              <w:t>計算結果者，</w:t>
            </w:r>
            <w:r w:rsidR="00C6370A">
              <w:rPr>
                <w:rFonts w:ascii="標楷體" w:hAnsi="標楷體" w:hint="eastAsia"/>
                <w:kern w:val="0"/>
                <w:szCs w:val="24"/>
              </w:rPr>
              <w:t>則</w:t>
            </w:r>
            <w:r w:rsidRPr="0071176D">
              <w:rPr>
                <w:rFonts w:ascii="標楷體" w:hAnsi="標楷體" w:hint="eastAsia"/>
                <w:kern w:val="0"/>
                <w:szCs w:val="24"/>
              </w:rPr>
              <w:t>以平均值認定之：</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一</w:t>
            </w:r>
            <w:r w:rsidRPr="0071176D">
              <w:rPr>
                <w:rFonts w:ascii="標楷體" w:hAnsi="標楷體" w:cs="標楷體" w:hint="eastAsia"/>
                <w:kern w:val="0"/>
                <w:szCs w:val="24"/>
                <w:lang w:val="zh-TW" w:bidi="ne-NP"/>
              </w:rPr>
              <w:t>、以</w:t>
            </w:r>
            <w:r w:rsidRPr="0071176D">
              <w:rPr>
                <w:rFonts w:ascii="標楷體" w:hAnsi="標楷體" w:hint="eastAsia"/>
                <w:kern w:val="0"/>
                <w:szCs w:val="24"/>
              </w:rPr>
              <w:t>符合中央主管機關或目的事業主管機關規定之許可、申報、監（檢）測、查證資料核算，公式如下：</w:t>
            </w:r>
          </w:p>
          <w:p w:rsidR="0071176D" w:rsidRPr="0071176D" w:rsidRDefault="0071176D" w:rsidP="0071176D">
            <w:pPr>
              <w:adjustRightInd w:val="0"/>
              <w:ind w:leftChars="250" w:left="827" w:hanging="227"/>
              <w:jc w:val="both"/>
              <w:textAlignment w:val="baseline"/>
              <w:rPr>
                <w:rFonts w:ascii="標楷體" w:hAnsi="標楷體"/>
                <w:kern w:val="0"/>
                <w:szCs w:val="24"/>
              </w:rPr>
            </w:pPr>
            <m:oMath>
              <m:r>
                <m:rPr>
                  <m:sty m:val="p"/>
                </m:rPr>
                <w:rPr>
                  <w:rFonts w:ascii="Cambria Math" w:hAnsi="Cambria Math" w:hint="eastAsia"/>
                  <w:kern w:val="0"/>
                  <w:szCs w:val="24"/>
                </w:rPr>
                <m:t>營業淨利</m:t>
              </m:r>
              <m:r>
                <m:rPr>
                  <m:sty m:val="p"/>
                </m:rPr>
                <w:rPr>
                  <w:rFonts w:ascii="Cambria Math" w:hAnsi="Cambria Math"/>
                  <w:kern w:val="0"/>
                  <w:szCs w:val="24"/>
                </w:rPr>
                <m:t>(</m:t>
              </m:r>
              <m:r>
                <m:rPr>
                  <m:sty m:val="p"/>
                </m:rPr>
                <w:rPr>
                  <w:rFonts w:ascii="Cambria Math" w:hAnsi="Cambria Math" w:hint="eastAsia"/>
                  <w:kern w:val="0"/>
                  <w:szCs w:val="24"/>
                </w:rPr>
                <m:t>元</m:t>
              </m:r>
              <m:r>
                <m:rPr>
                  <m:sty m:val="p"/>
                </m:rPr>
                <w:rPr>
                  <w:rFonts w:ascii="Cambria Math" w:hAnsi="Cambria Math"/>
                  <w:kern w:val="0"/>
                  <w:szCs w:val="24"/>
                </w:rPr>
                <m:t>)</m:t>
              </m:r>
              <m:r>
                <m:rPr>
                  <m:sty m:val="p"/>
                </m:rPr>
                <w:rPr>
                  <w:rFonts w:ascii="Cambria Math" w:hAnsi="Cambria Math" w:hint="eastAsia"/>
                  <w:kern w:val="0"/>
                  <w:szCs w:val="24"/>
                </w:rPr>
                <w:sym w:font="Wingdings 2" w:char="F0CD"/>
              </m:r>
              <m:d>
                <m:dPr>
                  <m:ctrlPr>
                    <w:rPr>
                      <w:rFonts w:ascii="Cambria Math" w:hAnsi="Cambria Math"/>
                      <w:kern w:val="0"/>
                      <w:szCs w:val="24"/>
                    </w:rPr>
                  </m:ctrlPr>
                </m:dPr>
                <m:e>
                  <m:f>
                    <m:fPr>
                      <m:ctrlPr>
                        <w:rPr>
                          <w:rFonts w:ascii="Cambria Math" w:hAnsi="Cambria Math"/>
                          <w:kern w:val="0"/>
                          <w:szCs w:val="24"/>
                        </w:rPr>
                      </m:ctrlPr>
                    </m:fPr>
                    <m:num>
                      <m:r>
                        <m:rPr>
                          <m:sty m:val="p"/>
                        </m:rPr>
                        <w:rPr>
                          <w:rFonts w:ascii="Cambria Math" w:hAnsi="Cambria Math" w:hint="eastAsia"/>
                          <w:kern w:val="0"/>
                          <w:szCs w:val="24"/>
                        </w:rPr>
                        <m:t>違法水量</m:t>
                      </m:r>
                      <m:r>
                        <m:rPr>
                          <m:sty m:val="p"/>
                        </m:rPr>
                        <w:rPr>
                          <w:rFonts w:ascii="Cambria Math" w:hAnsi="Cambria Math" w:hint="eastAsia"/>
                          <w:kern w:val="0"/>
                          <w:szCs w:val="24"/>
                        </w:rPr>
                        <m:t>(</m:t>
                      </m:r>
                      <m:r>
                        <m:rPr>
                          <m:sty m:val="p"/>
                        </m:rPr>
                        <w:rPr>
                          <w:rFonts w:ascii="Cambria Math" w:hAnsi="Cambria Math" w:hint="eastAsia"/>
                          <w:kern w:val="0"/>
                          <w:szCs w:val="24"/>
                        </w:rPr>
                        <m:t>立方公尺</m:t>
                      </m:r>
                      <m:r>
                        <m:rPr>
                          <m:sty m:val="p"/>
                        </m:rPr>
                        <w:rPr>
                          <w:rFonts w:ascii="Cambria Math" w:hAnsi="Cambria Math" w:hint="eastAsia"/>
                          <w:kern w:val="0"/>
                          <w:szCs w:val="24"/>
                        </w:rPr>
                        <m:t>)</m:t>
                      </m:r>
                    </m:num>
                    <m:den>
                      <m:r>
                        <m:rPr>
                          <m:sty m:val="p"/>
                        </m:rPr>
                        <w:rPr>
                          <w:rFonts w:ascii="Cambria Math" w:hAnsi="Cambria Math" w:hint="eastAsia"/>
                          <w:kern w:val="0"/>
                          <w:szCs w:val="24"/>
                        </w:rPr>
                        <m:t>總水量</m:t>
                      </m:r>
                      <m:r>
                        <m:rPr>
                          <m:sty m:val="p"/>
                        </m:rPr>
                        <w:rPr>
                          <w:rFonts w:ascii="Cambria Math" w:hAnsi="Cambria Math" w:hint="eastAsia"/>
                          <w:kern w:val="0"/>
                          <w:szCs w:val="24"/>
                        </w:rPr>
                        <m:t>(</m:t>
                      </m:r>
                      <m:r>
                        <m:rPr>
                          <m:sty m:val="p"/>
                        </m:rPr>
                        <w:rPr>
                          <w:rFonts w:ascii="Cambria Math" w:hAnsi="Cambria Math" w:hint="eastAsia"/>
                          <w:kern w:val="0"/>
                          <w:szCs w:val="24"/>
                        </w:rPr>
                        <m:t>立方公尺</m:t>
                      </m:r>
                      <m:r>
                        <m:rPr>
                          <m:sty m:val="p"/>
                        </m:rPr>
                        <w:rPr>
                          <w:rFonts w:ascii="Cambria Math" w:hAnsi="Cambria Math" w:hint="eastAsia"/>
                          <w:kern w:val="0"/>
                          <w:szCs w:val="24"/>
                        </w:rPr>
                        <m:t>)</m:t>
                      </m:r>
                    </m:den>
                  </m:f>
                </m:e>
              </m:d>
            </m:oMath>
            <w:r w:rsidRPr="0071176D">
              <w:rPr>
                <w:rFonts w:ascii="標楷體" w:hAnsi="標楷體"/>
                <w:kern w:val="0"/>
                <w:szCs w:val="24"/>
              </w:rPr>
              <w:t xml:space="preserve"> </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w:t>
            </w:r>
            <w:r w:rsidRPr="0071176D">
              <w:rPr>
                <w:rFonts w:ascii="標楷體" w:hAnsi="標楷體" w:cs="標楷體" w:hint="eastAsia"/>
                <w:kern w:val="0"/>
                <w:szCs w:val="24"/>
                <w:lang w:val="zh-TW" w:bidi="ne-NP"/>
              </w:rPr>
              <w:t>、</w:t>
            </w:r>
            <w:r w:rsidRPr="0071176D">
              <w:rPr>
                <w:rFonts w:ascii="標楷體" w:hAnsi="標楷體" w:hint="eastAsia"/>
                <w:kern w:val="0"/>
                <w:szCs w:val="24"/>
              </w:rPr>
              <w:t>經主管機關認定提供資料不完整或有其他不足以供主管機關核算之情形者，得以下列公式推估：</w:t>
            </w:r>
          </w:p>
          <w:p w:rsidR="0071176D" w:rsidRPr="0071176D" w:rsidRDefault="0071176D" w:rsidP="0071176D">
            <w:pPr>
              <w:adjustRightInd w:val="0"/>
              <w:ind w:leftChars="250" w:left="827" w:hanging="227"/>
              <w:jc w:val="both"/>
              <w:textAlignment w:val="baseline"/>
              <w:rPr>
                <w:rFonts w:ascii="標楷體" w:hAnsi="標楷體"/>
                <w:kern w:val="0"/>
                <w:szCs w:val="24"/>
              </w:rPr>
            </w:pPr>
            <m:oMath>
              <m:r>
                <m:rPr>
                  <m:sty m:val="p"/>
                </m:rPr>
                <w:rPr>
                  <w:rFonts w:ascii="Cambria Math" w:hAnsi="Cambria Math" w:hint="eastAsia"/>
                  <w:kern w:val="0"/>
                  <w:szCs w:val="24"/>
                </w:rPr>
                <m:t>營業收入</m:t>
              </m:r>
              <m:d>
                <m:dPr>
                  <m:ctrlPr>
                    <w:rPr>
                      <w:rFonts w:ascii="Cambria Math" w:hAnsi="Cambria Math"/>
                      <w:kern w:val="0"/>
                      <w:szCs w:val="24"/>
                    </w:rPr>
                  </m:ctrlPr>
                </m:dPr>
                <m:e>
                  <m:r>
                    <m:rPr>
                      <m:sty m:val="p"/>
                    </m:rPr>
                    <w:rPr>
                      <w:rFonts w:ascii="Cambria Math" w:hAnsi="Cambria Math" w:hint="eastAsia"/>
                      <w:kern w:val="0"/>
                      <w:szCs w:val="24"/>
                    </w:rPr>
                    <m:t>元</m:t>
                  </m:r>
                </m:e>
              </m:d>
              <m:r>
                <m:rPr>
                  <m:sty m:val="p"/>
                </m:rPr>
                <w:rPr>
                  <w:rFonts w:ascii="Cambria Math" w:hAnsi="Cambria Math" w:hint="eastAsia"/>
                  <w:kern w:val="0"/>
                  <w:szCs w:val="24"/>
                </w:rPr>
                <m:t>×利潤率×</m:t>
              </m:r>
              <m:r>
                <m:rPr>
                  <m:sty m:val="p"/>
                </m:rPr>
                <w:rPr>
                  <w:rFonts w:ascii="Cambria Math" w:hAnsi="Cambria Math" w:hint="eastAsia"/>
                  <w:kern w:val="0"/>
                  <w:szCs w:val="24"/>
                </w:rPr>
                <m:t xml:space="preserve"> </m:t>
              </m:r>
              <m:d>
                <m:dPr>
                  <m:ctrlPr>
                    <w:rPr>
                      <w:rFonts w:ascii="Cambria Math" w:hAnsi="Cambria Math"/>
                      <w:kern w:val="0"/>
                      <w:szCs w:val="24"/>
                    </w:rPr>
                  </m:ctrlPr>
                </m:dPr>
                <m:e>
                  <m:f>
                    <m:fPr>
                      <m:ctrlPr>
                        <w:rPr>
                          <w:rFonts w:ascii="Cambria Math" w:hAnsi="Cambria Math"/>
                          <w:kern w:val="0"/>
                          <w:szCs w:val="24"/>
                        </w:rPr>
                      </m:ctrlPr>
                    </m:fPr>
                    <m:num>
                      <m:r>
                        <m:rPr>
                          <m:sty m:val="p"/>
                        </m:rPr>
                        <w:rPr>
                          <w:rFonts w:ascii="Cambria Math" w:hAnsi="Cambria Math" w:hint="eastAsia"/>
                          <w:kern w:val="0"/>
                          <w:szCs w:val="24"/>
                        </w:rPr>
                        <m:t>違法水量</m:t>
                      </m:r>
                      <m:r>
                        <m:rPr>
                          <m:sty m:val="p"/>
                        </m:rPr>
                        <w:rPr>
                          <w:rFonts w:ascii="Cambria Math" w:hAnsi="Cambria Math" w:hint="eastAsia"/>
                          <w:kern w:val="0"/>
                          <w:szCs w:val="24"/>
                        </w:rPr>
                        <m:t>(</m:t>
                      </m:r>
                      <m:r>
                        <m:rPr>
                          <m:sty m:val="p"/>
                        </m:rPr>
                        <w:rPr>
                          <w:rFonts w:ascii="Cambria Math" w:hAnsi="Cambria Math" w:hint="eastAsia"/>
                          <w:kern w:val="0"/>
                          <w:szCs w:val="24"/>
                        </w:rPr>
                        <m:t>立方公尺</m:t>
                      </m:r>
                      <m:r>
                        <m:rPr>
                          <m:sty m:val="p"/>
                        </m:rPr>
                        <w:rPr>
                          <w:rFonts w:ascii="Cambria Math" w:hAnsi="Cambria Math" w:hint="eastAsia"/>
                          <w:kern w:val="0"/>
                          <w:szCs w:val="24"/>
                        </w:rPr>
                        <m:t>)</m:t>
                      </m:r>
                    </m:num>
                    <m:den>
                      <m:r>
                        <m:rPr>
                          <m:sty m:val="p"/>
                        </m:rPr>
                        <w:rPr>
                          <w:rFonts w:ascii="Cambria Math" w:hAnsi="Cambria Math" w:hint="eastAsia"/>
                          <w:kern w:val="0"/>
                          <w:szCs w:val="24"/>
                        </w:rPr>
                        <m:t>總水量</m:t>
                      </m:r>
                      <m:r>
                        <m:rPr>
                          <m:sty m:val="p"/>
                        </m:rPr>
                        <w:rPr>
                          <w:rFonts w:ascii="Cambria Math" w:hAnsi="Cambria Math" w:hint="eastAsia"/>
                          <w:kern w:val="0"/>
                          <w:szCs w:val="24"/>
                        </w:rPr>
                        <m:t>(</m:t>
                      </m:r>
                      <m:r>
                        <m:rPr>
                          <m:sty m:val="p"/>
                        </m:rPr>
                        <w:rPr>
                          <w:rFonts w:ascii="Cambria Math" w:hAnsi="Cambria Math" w:hint="eastAsia"/>
                          <w:kern w:val="0"/>
                          <w:szCs w:val="24"/>
                        </w:rPr>
                        <m:t>立方公尺</m:t>
                      </m:r>
                      <m:r>
                        <m:rPr>
                          <m:sty m:val="p"/>
                        </m:rPr>
                        <w:rPr>
                          <w:rFonts w:ascii="Cambria Math" w:hAnsi="Cambria Math" w:hint="eastAsia"/>
                          <w:kern w:val="0"/>
                          <w:szCs w:val="24"/>
                        </w:rPr>
                        <m:t>)</m:t>
                      </m:r>
                    </m:den>
                  </m:f>
                </m:e>
              </m:d>
            </m:oMath>
            <w:r w:rsidRPr="0071176D">
              <w:rPr>
                <w:rFonts w:ascii="標楷體" w:hAnsi="標楷體"/>
                <w:kern w:val="0"/>
                <w:szCs w:val="24"/>
              </w:rPr>
              <w:t xml:space="preserve"> </w:t>
            </w:r>
          </w:p>
          <w:p w:rsidR="0071176D" w:rsidRPr="0074380F" w:rsidRDefault="0071176D" w:rsidP="002E643A">
            <w:pPr>
              <w:adjustRightInd w:val="0"/>
              <w:ind w:leftChars="8" w:left="458" w:hangingChars="183" w:hanging="439"/>
              <w:textAlignment w:val="baseline"/>
              <w:rPr>
                <w:rFonts w:ascii="標楷體" w:hAnsi="標楷體"/>
                <w:kern w:val="0"/>
                <w:szCs w:val="24"/>
              </w:rPr>
            </w:pPr>
            <w:r w:rsidRPr="0071176D">
              <w:rPr>
                <w:rFonts w:ascii="標楷體" w:hAnsi="標楷體" w:hint="eastAsia"/>
                <w:kern w:val="0"/>
                <w:szCs w:val="24"/>
              </w:rPr>
              <w:t>三、收受處理廢（污）水並收取費用者，核算如下：</w:t>
            </w:r>
            <w:r w:rsidR="00332B06">
              <w:rPr>
                <w:rFonts w:ascii="標楷體" w:hAnsi="標楷體"/>
                <w:kern w:val="0"/>
                <w:szCs w:val="24"/>
              </w:rPr>
              <w:t xml:space="preserve"> </w:t>
            </w:r>
            <m:oMath>
              <m:r>
                <m:rPr>
                  <m:sty m:val="p"/>
                </m:rPr>
                <w:rPr>
                  <w:rFonts w:ascii="Cambria Math" w:hAnsi="Cambria Math" w:hint="eastAsia"/>
                  <w:kern w:val="0"/>
                  <w:szCs w:val="24"/>
                </w:rPr>
                <m:t>廢</m:t>
              </m:r>
              <m:d>
                <m:dPr>
                  <m:ctrlPr>
                    <w:rPr>
                      <w:rFonts w:ascii="Cambria Math" w:hAnsi="Cambria Math"/>
                      <w:kern w:val="0"/>
                      <w:szCs w:val="24"/>
                    </w:rPr>
                  </m:ctrlPr>
                </m:dPr>
                <m:e>
                  <m:r>
                    <m:rPr>
                      <m:sty m:val="p"/>
                    </m:rPr>
                    <w:rPr>
                      <w:rFonts w:ascii="Cambria Math" w:hAnsi="Cambria Math" w:hint="eastAsia"/>
                      <w:kern w:val="0"/>
                      <w:szCs w:val="24"/>
                    </w:rPr>
                    <m:t>污</m:t>
                  </m:r>
                </m:e>
              </m:d>
              <m:r>
                <m:rPr>
                  <m:sty m:val="p"/>
                </m:rPr>
                <w:rPr>
                  <w:rFonts w:ascii="Cambria Math" w:hAnsi="Cambria Math" w:hint="eastAsia"/>
                  <w:kern w:val="0"/>
                  <w:szCs w:val="24"/>
                </w:rPr>
                <m:t>水收受處理價額</m:t>
              </m:r>
              <m:r>
                <m:rPr>
                  <m:sty m:val="p"/>
                </m:rPr>
                <w:rPr>
                  <w:rFonts w:ascii="Cambria Math" w:hAnsi="Cambria Math" w:hint="eastAsia"/>
                  <w:kern w:val="0"/>
                  <w:szCs w:val="24"/>
                </w:rPr>
                <m:t xml:space="preserve"> </m:t>
              </m:r>
              <m:d>
                <m:dPr>
                  <m:ctrlPr>
                    <w:rPr>
                      <w:rFonts w:ascii="Cambria Math" w:hAnsi="Cambria Math"/>
                      <w:kern w:val="0"/>
                      <w:szCs w:val="24"/>
                    </w:rPr>
                  </m:ctrlPr>
                </m:dPr>
                <m:e>
                  <m:f>
                    <m:fPr>
                      <m:ctrlPr>
                        <w:rPr>
                          <w:rFonts w:ascii="Cambria Math" w:hAnsi="Cambria Math"/>
                          <w:kern w:val="0"/>
                          <w:szCs w:val="24"/>
                        </w:rPr>
                      </m:ctrlPr>
                    </m:fPr>
                    <m:num>
                      <m:r>
                        <m:rPr>
                          <m:sty m:val="p"/>
                        </m:rPr>
                        <w:rPr>
                          <w:rFonts w:ascii="Cambria Math" w:hAnsi="Cambria Math" w:hint="eastAsia"/>
                          <w:kern w:val="0"/>
                          <w:szCs w:val="24"/>
                        </w:rPr>
                        <m:t>元</m:t>
                      </m:r>
                    </m:num>
                    <m:den>
                      <m:r>
                        <m:rPr>
                          <m:sty m:val="p"/>
                        </m:rPr>
                        <w:rPr>
                          <w:rFonts w:ascii="Cambria Math" w:hAnsi="Cambria Math" w:hint="eastAsia"/>
                          <w:kern w:val="0"/>
                          <w:szCs w:val="24"/>
                        </w:rPr>
                        <m:t>立方公尺</m:t>
                      </m:r>
                    </m:den>
                  </m:f>
                </m:e>
              </m:d>
              <m:r>
                <m:rPr>
                  <m:sty m:val="p"/>
                </m:rPr>
                <w:rPr>
                  <w:rFonts w:ascii="Cambria Math" w:hAnsi="Cambria Math" w:hint="eastAsia"/>
                  <w:kern w:val="0"/>
                  <w:szCs w:val="24"/>
                </w:rPr>
                <m:t>×違反本法規定之處理水量</m:t>
              </m:r>
              <m:r>
                <m:rPr>
                  <m:sty m:val="p"/>
                </m:rPr>
                <w:rPr>
                  <w:rFonts w:ascii="Cambria Math" w:hAnsi="Cambria Math" w:hint="eastAsia"/>
                  <w:kern w:val="0"/>
                  <w:szCs w:val="24"/>
                </w:rPr>
                <m:t xml:space="preserve"> </m:t>
              </m:r>
              <m:d>
                <m:dPr>
                  <m:ctrlPr>
                    <w:rPr>
                      <w:rFonts w:ascii="Cambria Math" w:hAnsi="Cambria Math"/>
                      <w:kern w:val="0"/>
                      <w:szCs w:val="24"/>
                    </w:rPr>
                  </m:ctrlPr>
                </m:dPr>
                <m:e>
                  <m:r>
                    <m:rPr>
                      <m:sty m:val="p"/>
                    </m:rPr>
                    <w:rPr>
                      <w:rFonts w:ascii="Cambria Math" w:hAnsi="Cambria Math" w:hint="eastAsia"/>
                      <w:kern w:val="0"/>
                      <w:szCs w:val="24"/>
                    </w:rPr>
                    <m:t>立方公尺</m:t>
                  </m:r>
                </m:e>
              </m:d>
            </m:oMath>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p>
        </w:tc>
        <w:tc>
          <w:tcPr>
            <w:tcW w:w="2500" w:type="pct"/>
          </w:tcPr>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一、第四條積極利益之產生與廢（污）水量有關者之核算、推估方法。</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第一項第一款所稱申報、監（檢）測資料，指依本法或目的事業主管機關規定進行申報、監（檢）測之各項資料，如依本法第二十二條、第三十一條，及依水污染防治措施及檢測申報管理辦法第十一章檢測申報管理專章及第十三章自動監測</w:t>
            </w:r>
            <w:r w:rsidRPr="0071176D">
              <w:rPr>
                <w:rFonts w:ascii="標楷體" w:hAnsi="標楷體"/>
                <w:kern w:val="0"/>
                <w:szCs w:val="24"/>
              </w:rPr>
              <w:t>(視)及連線傳輸專章規定申報、監（檢）測之資料；依所得稅法規定辦理之各項稅務申報資料。</w:t>
            </w:r>
          </w:p>
          <w:p w:rsidR="0071176D" w:rsidRPr="0071176D" w:rsidRDefault="0071176D" w:rsidP="0071176D">
            <w:pPr>
              <w:adjustRightInd w:val="0"/>
              <w:ind w:left="480" w:hangingChars="200" w:hanging="480"/>
              <w:jc w:val="both"/>
              <w:textAlignment w:val="baseline"/>
              <w:rPr>
                <w:rFonts w:ascii="標楷體" w:hAnsi="標楷體"/>
                <w:strike/>
                <w:kern w:val="0"/>
                <w:szCs w:val="24"/>
              </w:rPr>
            </w:pP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highlight w:val="yellow"/>
              </w:rPr>
            </w:pPr>
            <w:r w:rsidRPr="0071176D">
              <w:rPr>
                <w:rFonts w:ascii="標楷體" w:hAnsi="標楷體"/>
                <w:kern w:val="0"/>
                <w:szCs w:val="24"/>
              </w:rPr>
              <w:t>第</w:t>
            </w:r>
            <w:r w:rsidRPr="0071176D">
              <w:rPr>
                <w:rFonts w:ascii="標楷體" w:hAnsi="標楷體" w:hint="eastAsia"/>
                <w:kern w:val="0"/>
                <w:szCs w:val="24"/>
              </w:rPr>
              <w:t>六</w:t>
            </w:r>
            <w:r w:rsidRPr="0071176D">
              <w:rPr>
                <w:rFonts w:ascii="標楷體" w:hAnsi="標楷體"/>
                <w:kern w:val="0"/>
                <w:szCs w:val="24"/>
              </w:rPr>
              <w:t xml:space="preserve">條　</w:t>
            </w:r>
            <w:r w:rsidRPr="0071176D">
              <w:rPr>
                <w:rFonts w:ascii="標楷體" w:hAnsi="標楷體" w:hint="eastAsia"/>
                <w:kern w:val="0"/>
                <w:szCs w:val="24"/>
              </w:rPr>
              <w:t>第四條積極利益之產生與廢（污）水量無關者，依下列方式推</w:t>
            </w:r>
            <w:r w:rsidRPr="0071176D">
              <w:rPr>
                <w:rFonts w:ascii="標楷體" w:hAnsi="標楷體" w:hint="eastAsia"/>
                <w:kern w:val="0"/>
                <w:szCs w:val="24"/>
              </w:rPr>
              <w:lastRenderedPageBreak/>
              <w:t>估：</w:t>
            </w:r>
          </w:p>
          <w:p w:rsidR="0071176D" w:rsidRPr="0071176D" w:rsidRDefault="0071176D" w:rsidP="0071176D">
            <w:pPr>
              <w:numPr>
                <w:ilvl w:val="0"/>
                <w:numId w:val="14"/>
              </w:numPr>
              <w:adjustRightInd w:val="0"/>
              <w:spacing w:line="360" w:lineRule="atLeast"/>
              <w:jc w:val="both"/>
              <w:textAlignment w:val="baseline"/>
              <w:rPr>
                <w:rFonts w:ascii="標楷體" w:hAnsi="標楷體"/>
                <w:kern w:val="0"/>
                <w:szCs w:val="24"/>
              </w:rPr>
            </w:pPr>
            <w:r w:rsidRPr="0071176D">
              <w:rPr>
                <w:rFonts w:ascii="標楷體" w:hAnsi="標楷體" w:hint="eastAsia"/>
                <w:kern w:val="0"/>
                <w:szCs w:val="24"/>
              </w:rPr>
              <w:t>檢驗測定機構因違法行為所生之營業淨利。</w:t>
            </w:r>
          </w:p>
          <w:p w:rsidR="0071176D" w:rsidRPr="0071176D" w:rsidRDefault="0071176D" w:rsidP="0071176D">
            <w:pPr>
              <w:numPr>
                <w:ilvl w:val="0"/>
                <w:numId w:val="14"/>
              </w:numPr>
              <w:adjustRightInd w:val="0"/>
              <w:spacing w:line="360" w:lineRule="atLeast"/>
              <w:jc w:val="both"/>
              <w:textAlignment w:val="baseline"/>
              <w:rPr>
                <w:rFonts w:ascii="標楷體" w:hAnsi="標楷體"/>
                <w:kern w:val="0"/>
                <w:szCs w:val="24"/>
              </w:rPr>
            </w:pPr>
            <w:r w:rsidRPr="0071176D">
              <w:rPr>
                <w:rFonts w:ascii="標楷體" w:hAnsi="標楷體" w:hint="eastAsia"/>
                <w:kern w:val="0"/>
                <w:szCs w:val="24"/>
              </w:rPr>
              <w:t>未依規定或虛偽設置</w:t>
            </w:r>
            <w:r w:rsidR="00046F54">
              <w:rPr>
                <w:rFonts w:ascii="標楷體" w:hAnsi="標楷體" w:hint="eastAsia"/>
                <w:kern w:val="0"/>
                <w:szCs w:val="24"/>
              </w:rPr>
              <w:t>之</w:t>
            </w:r>
            <w:r w:rsidRPr="0071176D">
              <w:rPr>
                <w:rFonts w:ascii="標楷體" w:hAnsi="標楷體" w:hint="eastAsia"/>
                <w:kern w:val="0"/>
                <w:szCs w:val="24"/>
              </w:rPr>
              <w:t>廢（污）水處理專責單位或人員</w:t>
            </w:r>
            <w:r w:rsidR="00E4691B">
              <w:rPr>
                <w:rFonts w:ascii="標楷體" w:hAnsi="標楷體" w:hint="eastAsia"/>
                <w:kern w:val="0"/>
                <w:szCs w:val="24"/>
              </w:rPr>
              <w:t>，其</w:t>
            </w:r>
            <w:r w:rsidRPr="0071176D">
              <w:rPr>
                <w:rFonts w:ascii="標楷體" w:hAnsi="標楷體" w:hint="eastAsia"/>
                <w:kern w:val="0"/>
                <w:szCs w:val="24"/>
              </w:rPr>
              <w:t>所</w:t>
            </w:r>
            <w:r w:rsidR="00046F54">
              <w:rPr>
                <w:rFonts w:ascii="標楷體" w:hAnsi="標楷體" w:hint="eastAsia"/>
                <w:kern w:val="0"/>
                <w:szCs w:val="24"/>
              </w:rPr>
              <w:t>獲</w:t>
            </w:r>
            <w:r w:rsidRPr="0071176D">
              <w:rPr>
                <w:rFonts w:ascii="標楷體" w:hAnsi="標楷體" w:hint="eastAsia"/>
                <w:kern w:val="0"/>
                <w:szCs w:val="24"/>
              </w:rPr>
              <w:t>之對價或報酬。</w:t>
            </w:r>
          </w:p>
          <w:p w:rsidR="0071176D" w:rsidRPr="0071176D" w:rsidRDefault="0071176D" w:rsidP="0071176D">
            <w:pPr>
              <w:numPr>
                <w:ilvl w:val="0"/>
                <w:numId w:val="14"/>
              </w:numPr>
              <w:adjustRightInd w:val="0"/>
              <w:spacing w:line="360" w:lineRule="atLeast"/>
              <w:jc w:val="both"/>
              <w:textAlignment w:val="baseline"/>
              <w:rPr>
                <w:rFonts w:ascii="標楷體" w:hAnsi="標楷體"/>
                <w:kern w:val="0"/>
                <w:szCs w:val="24"/>
              </w:rPr>
            </w:pPr>
            <w:r w:rsidRPr="0071176D">
              <w:rPr>
                <w:rFonts w:ascii="標楷體" w:hAnsi="標楷體" w:hint="eastAsia"/>
                <w:kern w:val="0"/>
                <w:szCs w:val="24"/>
              </w:rPr>
              <w:t>以他人與違反本法義務受處罰者間之契約內容或其他佐證資料，推估所獲經濟利益。</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p>
        </w:tc>
        <w:tc>
          <w:tcPr>
            <w:tcW w:w="2500" w:type="pct"/>
          </w:tcPr>
          <w:p w:rsidR="0071176D" w:rsidRPr="0071176D" w:rsidRDefault="0071176D" w:rsidP="0071176D">
            <w:pPr>
              <w:adjustRightInd w:val="0"/>
              <w:jc w:val="both"/>
              <w:textAlignment w:val="baseline"/>
              <w:rPr>
                <w:rFonts w:ascii="標楷體" w:hAnsi="標楷體"/>
                <w:kern w:val="0"/>
                <w:szCs w:val="24"/>
              </w:rPr>
            </w:pPr>
            <w:r w:rsidRPr="0071176D">
              <w:rPr>
                <w:rFonts w:ascii="標楷體" w:hAnsi="標楷體" w:hint="eastAsia"/>
                <w:kern w:val="0"/>
                <w:szCs w:val="24"/>
              </w:rPr>
              <w:lastRenderedPageBreak/>
              <w:t>第四條積極利益之產生與廢（污）水量無關者之推估方法，如檢驗測定機構出</w:t>
            </w:r>
            <w:r w:rsidRPr="0071176D">
              <w:rPr>
                <w:rFonts w:ascii="標楷體" w:hAnsi="標楷體" w:hint="eastAsia"/>
                <w:kern w:val="0"/>
                <w:szCs w:val="24"/>
              </w:rPr>
              <w:lastRenderedPageBreak/>
              <w:t>具不實之檢驗報告予事業進行檢測申報、未依規定或虛偽設置廢（污）水處理專責單位或人員等</w:t>
            </w:r>
            <w:r w:rsidR="00E4691B">
              <w:rPr>
                <w:rFonts w:ascii="標楷體" w:hAnsi="標楷體" w:hint="eastAsia"/>
                <w:kern w:val="0"/>
                <w:szCs w:val="24"/>
              </w:rPr>
              <w:t>，</w:t>
            </w:r>
            <w:proofErr w:type="gramStart"/>
            <w:r w:rsidR="00E4691B">
              <w:rPr>
                <w:rFonts w:ascii="標楷體" w:hAnsi="標楷體" w:hint="eastAsia"/>
                <w:kern w:val="0"/>
                <w:szCs w:val="24"/>
              </w:rPr>
              <w:t>均應追繳</w:t>
            </w:r>
            <w:proofErr w:type="gramEnd"/>
            <w:r w:rsidR="00E4691B">
              <w:rPr>
                <w:rFonts w:ascii="標楷體" w:hAnsi="標楷體" w:hint="eastAsia"/>
                <w:kern w:val="0"/>
                <w:szCs w:val="24"/>
              </w:rPr>
              <w:t>檢驗測定機構或專責人員所獲之經濟利益</w:t>
            </w:r>
            <w:r w:rsidRPr="0071176D">
              <w:rPr>
                <w:rFonts w:ascii="標楷體" w:hAnsi="標楷體" w:hint="eastAsia"/>
                <w:kern w:val="0"/>
                <w:szCs w:val="24"/>
              </w:rPr>
              <w:t>。</w:t>
            </w: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cs="標楷體"/>
                <w:kern w:val="0"/>
                <w:szCs w:val="24"/>
                <w:lang w:val="zh-TW" w:bidi="ne-NP"/>
              </w:rPr>
            </w:pPr>
            <w:r w:rsidRPr="0071176D">
              <w:rPr>
                <w:rFonts w:ascii="標楷體" w:hAnsi="標楷體"/>
                <w:kern w:val="0"/>
                <w:szCs w:val="24"/>
              </w:rPr>
              <w:lastRenderedPageBreak/>
              <w:t>第</w:t>
            </w:r>
            <w:r w:rsidRPr="0071176D">
              <w:rPr>
                <w:rFonts w:ascii="標楷體" w:hAnsi="標楷體" w:hint="eastAsia"/>
                <w:kern w:val="0"/>
                <w:szCs w:val="24"/>
              </w:rPr>
              <w:t>七</w:t>
            </w:r>
            <w:r w:rsidRPr="0071176D">
              <w:rPr>
                <w:rFonts w:ascii="標楷體" w:hAnsi="標楷體"/>
                <w:kern w:val="0"/>
                <w:szCs w:val="24"/>
              </w:rPr>
              <w:t xml:space="preserve">條　</w:t>
            </w:r>
            <w:r w:rsidRPr="0071176D">
              <w:rPr>
                <w:rFonts w:ascii="標楷體" w:hAnsi="標楷體" w:hint="eastAsia"/>
                <w:kern w:val="0"/>
                <w:szCs w:val="24"/>
              </w:rPr>
              <w:t>消極利益分為下列三類：</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cs="標楷體" w:hint="eastAsia"/>
                <w:kern w:val="0"/>
                <w:szCs w:val="24"/>
                <w:lang w:val="zh-TW" w:bidi="ne-NP"/>
              </w:rPr>
              <w:t>一、</w:t>
            </w:r>
            <w:r w:rsidRPr="0071176D">
              <w:rPr>
                <w:rFonts w:ascii="標楷體" w:hAnsi="標楷體" w:hint="eastAsia"/>
                <w:kern w:val="0"/>
                <w:szCs w:val="24"/>
              </w:rPr>
              <w:t>資本投資支出成本，</w:t>
            </w:r>
            <w:r w:rsidR="00E30D8B">
              <w:rPr>
                <w:rFonts w:ascii="標楷體" w:hAnsi="標楷體" w:hint="eastAsia"/>
                <w:kern w:val="0"/>
                <w:szCs w:val="24"/>
              </w:rPr>
              <w:t>指</w:t>
            </w:r>
            <w:r w:rsidRPr="0071176D">
              <w:rPr>
                <w:rFonts w:ascii="標楷體" w:hAnsi="標楷體" w:hint="eastAsia"/>
                <w:kern w:val="0"/>
                <w:szCs w:val="24"/>
              </w:rPr>
              <w:t>所有為符合本法義務所應投資資本設備</w:t>
            </w:r>
            <w:r w:rsidR="00E30D8B">
              <w:rPr>
                <w:rFonts w:ascii="標楷體" w:hAnsi="標楷體" w:hint="eastAsia"/>
                <w:kern w:val="0"/>
                <w:szCs w:val="24"/>
              </w:rPr>
              <w:t>之支出</w:t>
            </w:r>
            <w:r w:rsidRPr="0071176D">
              <w:rPr>
                <w:rFonts w:ascii="標楷體" w:hAnsi="標楷體" w:hint="eastAsia"/>
                <w:kern w:val="0"/>
                <w:szCs w:val="24"/>
              </w:rPr>
              <w:t>，如廢（污）水或污泥處理設施、自動監測設施、檢驗設備等之設計、安裝及購買等費用。</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二、一次性支出成本，指一次且非折舊性之支出，如土地購買、員工之初始訓練、緊急應變措施、或依本法應辦理之許可證（文件）申請等費用。</w:t>
            </w:r>
          </w:p>
          <w:p w:rsidR="0071176D" w:rsidRPr="0071176D" w:rsidRDefault="0071176D" w:rsidP="00B25D90">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三、經常性支出成本，指符合本法義務所需相關設備（施）操作維護及管理費用</w:t>
            </w:r>
            <w:r w:rsidR="00E30D8B">
              <w:rPr>
                <w:rFonts w:ascii="標楷體" w:hAnsi="標楷體" w:hint="eastAsia"/>
                <w:kern w:val="0"/>
                <w:szCs w:val="24"/>
              </w:rPr>
              <w:t>之支出</w:t>
            </w:r>
            <w:r w:rsidRPr="0071176D">
              <w:rPr>
                <w:rFonts w:ascii="標楷體" w:hAnsi="標楷體" w:hint="eastAsia"/>
                <w:kern w:val="0"/>
                <w:szCs w:val="24"/>
              </w:rPr>
              <w:t>，如維持廢（污）水處理設施正常操作、監（檢）測及申報、污泥處理等工作之相關支出，如電費、燃料費、藥品費、材料費、污泥清除處理費、污水下水道使用費、設備更新或改善費、</w:t>
            </w:r>
            <w:r w:rsidR="00046F54">
              <w:rPr>
                <w:rFonts w:ascii="標楷體" w:hAnsi="標楷體" w:hint="eastAsia"/>
                <w:kern w:val="0"/>
                <w:szCs w:val="24"/>
              </w:rPr>
              <w:t>設置</w:t>
            </w:r>
            <w:r w:rsidR="00046F54" w:rsidRPr="00046F54">
              <w:rPr>
                <w:rFonts w:ascii="標楷體" w:hAnsi="標楷體" w:hint="eastAsia"/>
                <w:kern w:val="0"/>
                <w:szCs w:val="24"/>
              </w:rPr>
              <w:t>廢（污）水處理專責單位或人員</w:t>
            </w:r>
            <w:r w:rsidR="00046F54">
              <w:rPr>
                <w:rFonts w:ascii="標楷體" w:hAnsi="標楷體" w:hint="eastAsia"/>
                <w:kern w:val="0"/>
                <w:szCs w:val="24"/>
              </w:rPr>
              <w:t>費、</w:t>
            </w:r>
            <w:r w:rsidRPr="0071176D">
              <w:rPr>
                <w:rFonts w:ascii="標楷體" w:hAnsi="標楷體" w:hint="eastAsia"/>
                <w:kern w:val="0"/>
                <w:szCs w:val="24"/>
              </w:rPr>
              <w:t>人事費、差旅費、</w:t>
            </w:r>
            <w:r w:rsidRPr="00732380">
              <w:rPr>
                <w:rFonts w:ascii="標楷體" w:hAnsi="標楷體" w:hint="eastAsia"/>
                <w:kern w:val="0"/>
                <w:szCs w:val="24"/>
              </w:rPr>
              <w:t>檢測申報費、</w:t>
            </w:r>
            <w:r w:rsidR="00B25D90">
              <w:rPr>
                <w:rFonts w:ascii="標楷體" w:hAnsi="標楷體" w:hint="eastAsia"/>
                <w:kern w:val="0"/>
                <w:szCs w:val="24"/>
              </w:rPr>
              <w:t>水質（量）</w:t>
            </w:r>
            <w:r w:rsidRPr="00732380">
              <w:rPr>
                <w:rFonts w:ascii="標楷體" w:hAnsi="標楷體" w:hint="eastAsia"/>
                <w:kern w:val="0"/>
                <w:szCs w:val="24"/>
              </w:rPr>
              <w:t>自動監測</w:t>
            </w:r>
            <w:r w:rsidRPr="0071176D">
              <w:rPr>
                <w:rFonts w:ascii="標楷體" w:hAnsi="標楷體" w:hint="eastAsia"/>
                <w:kern w:val="0"/>
                <w:szCs w:val="24"/>
              </w:rPr>
              <w:t>（視）及連線傳輸設施操作維護費，或其他經主管機關認定之相關經常性支出成本</w:t>
            </w:r>
            <w:r w:rsidR="00E30D8B">
              <w:rPr>
                <w:rFonts w:ascii="標楷體" w:hAnsi="標楷體" w:hint="eastAsia"/>
                <w:kern w:val="0"/>
                <w:szCs w:val="24"/>
              </w:rPr>
              <w:t>費用</w:t>
            </w:r>
            <w:r w:rsidRPr="0071176D">
              <w:rPr>
                <w:rFonts w:ascii="標楷體" w:hAnsi="標楷體" w:hint="eastAsia"/>
                <w:kern w:val="0"/>
                <w:szCs w:val="24"/>
              </w:rPr>
              <w:t>。</w:t>
            </w:r>
          </w:p>
        </w:tc>
        <w:tc>
          <w:tcPr>
            <w:tcW w:w="2500" w:type="pct"/>
          </w:tcPr>
          <w:p w:rsidR="0071176D" w:rsidRPr="0071176D" w:rsidRDefault="0071176D" w:rsidP="0071176D">
            <w:pPr>
              <w:adjustRightInd w:val="0"/>
              <w:jc w:val="both"/>
              <w:textAlignment w:val="baseline"/>
              <w:rPr>
                <w:rFonts w:ascii="標楷體" w:hAnsi="標楷體"/>
                <w:kern w:val="0"/>
                <w:szCs w:val="24"/>
              </w:rPr>
            </w:pPr>
            <w:r w:rsidRPr="0071176D">
              <w:rPr>
                <w:rFonts w:ascii="標楷體" w:hAnsi="標楷體" w:hint="eastAsia"/>
                <w:kern w:val="0"/>
                <w:szCs w:val="24"/>
              </w:rPr>
              <w:t>消極利益類型。</w:t>
            </w:r>
          </w:p>
          <w:p w:rsidR="0071176D" w:rsidRPr="0071176D" w:rsidRDefault="0071176D" w:rsidP="0071176D">
            <w:pPr>
              <w:adjustRightInd w:val="0"/>
              <w:ind w:left="480" w:hangingChars="200" w:hanging="480"/>
              <w:jc w:val="both"/>
              <w:textAlignment w:val="baseline"/>
              <w:rPr>
                <w:rFonts w:ascii="標楷體" w:hAnsi="標楷體"/>
                <w:kern w:val="0"/>
                <w:szCs w:val="24"/>
              </w:rPr>
            </w:pP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hint="eastAsia"/>
                <w:kern w:val="0"/>
                <w:szCs w:val="24"/>
              </w:rPr>
              <w:t>第八條　前條第一款資本投資支出成本之計算，得以設施</w:t>
            </w:r>
            <w:proofErr w:type="gramStart"/>
            <w:r w:rsidRPr="0071176D">
              <w:rPr>
                <w:rFonts w:ascii="標楷體" w:hAnsi="標楷體" w:hint="eastAsia"/>
                <w:kern w:val="0"/>
                <w:szCs w:val="24"/>
              </w:rPr>
              <w:t>總成本按財政部</w:t>
            </w:r>
            <w:proofErr w:type="gramEnd"/>
            <w:r w:rsidRPr="0071176D">
              <w:rPr>
                <w:rFonts w:ascii="標楷體" w:hAnsi="標楷體" w:hint="eastAsia"/>
                <w:kern w:val="0"/>
                <w:szCs w:val="24"/>
              </w:rPr>
              <w:t>依所得稅法所定之固定資產耐用年數折舊</w:t>
            </w:r>
            <w:r w:rsidRPr="0071176D">
              <w:rPr>
                <w:rFonts w:ascii="標楷體" w:hAnsi="標楷體" w:hint="eastAsia"/>
                <w:kern w:val="0"/>
                <w:szCs w:val="24"/>
              </w:rPr>
              <w:lastRenderedPageBreak/>
              <w:t>或設施設計使用年限攤提。</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前條第二款一次性支出</w:t>
            </w:r>
            <w:r w:rsidR="00B25D90">
              <w:rPr>
                <w:rFonts w:ascii="標楷體" w:hAnsi="標楷體" w:hint="eastAsia"/>
                <w:kern w:val="0"/>
                <w:szCs w:val="24"/>
              </w:rPr>
              <w:t>成本</w:t>
            </w:r>
            <w:r w:rsidRPr="0071176D">
              <w:rPr>
                <w:rFonts w:ascii="標楷體" w:hAnsi="標楷體" w:hint="eastAsia"/>
                <w:kern w:val="0"/>
                <w:szCs w:val="24"/>
              </w:rPr>
              <w:t>之計算，以相關支出總成本計算。</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違反本法義務人已改善、補正其應支出者，前二項消極利益之計算，僅計算其因遲延支出所獲利息之所得利益。</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前條第三款經常性支出成本，與廢（污）水量或污泥量有關者，得以違法水量或污泥短少量計算，如有一個以上計算結果，以平均值認定之：</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一、依違法水量計算：</w:t>
            </w:r>
          </w:p>
          <w:p w:rsidR="0071176D" w:rsidRPr="0071176D" w:rsidRDefault="0071176D" w:rsidP="0071176D">
            <w:pPr>
              <w:adjustRightInd w:val="0"/>
              <w:ind w:leftChars="250" w:left="600"/>
              <w:jc w:val="both"/>
              <w:textAlignment w:val="baseline"/>
              <w:rPr>
                <w:rFonts w:ascii="標楷體" w:hAnsi="標楷體"/>
                <w:kern w:val="0"/>
                <w:szCs w:val="24"/>
              </w:rPr>
            </w:pPr>
            <w:r w:rsidRPr="0071176D">
              <w:rPr>
                <w:rFonts w:ascii="標楷體" w:hAnsi="標楷體" w:hint="eastAsia"/>
                <w:kern w:val="0"/>
                <w:szCs w:val="24"/>
              </w:rPr>
              <w:t>違法水量（</w:t>
            </w:r>
            <w:r w:rsidRPr="0071176D">
              <w:rPr>
                <w:rFonts w:ascii="標楷體" w:hAnsi="標楷體"/>
                <w:kern w:val="0"/>
                <w:szCs w:val="24"/>
              </w:rPr>
              <w:t>立方公尺</w:t>
            </w:r>
            <w:r w:rsidRPr="0071176D">
              <w:rPr>
                <w:rFonts w:ascii="標楷體" w:hAnsi="標楷體" w:hint="eastAsia"/>
                <w:kern w:val="0"/>
                <w:szCs w:val="24"/>
              </w:rPr>
              <w:t>）</w:t>
            </w:r>
            <w:r w:rsidRPr="0071176D">
              <w:rPr>
                <w:rFonts w:ascii="標楷體" w:hAnsi="標楷體"/>
                <w:kern w:val="0"/>
                <w:szCs w:val="24"/>
              </w:rPr>
              <w:sym w:font="Wingdings 2" w:char="F0CD"/>
            </w:r>
            <w:r w:rsidRPr="0071176D">
              <w:rPr>
                <w:rFonts w:ascii="標楷體" w:hAnsi="標楷體" w:hint="eastAsia"/>
                <w:kern w:val="0"/>
                <w:szCs w:val="24"/>
              </w:rPr>
              <w:t>單位廢水處理成本（元</w:t>
            </w:r>
            <w:r w:rsidRPr="0071176D">
              <w:rPr>
                <w:rFonts w:ascii="標楷體" w:hAnsi="標楷體"/>
                <w:kern w:val="0"/>
                <w:szCs w:val="24"/>
              </w:rPr>
              <w:t>/立方公尺）</w:t>
            </w:r>
            <w:r w:rsidRPr="0071176D">
              <w:rPr>
                <w:rFonts w:ascii="標楷體" w:hAnsi="標楷體" w:hint="eastAsia"/>
                <w:kern w:val="0"/>
                <w:szCs w:val="24"/>
              </w:rPr>
              <w:t>＋其他年支出費用（元）</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（一）單位廢水處理成本係指處理每單位廢水所應支出之電力、燃料、藥品及材料使用、污泥清除處理、污水下水道使用等之費用成本。</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（二）其他年支出費用係指每年應支出之設備更新或改善、人事、檢測申報、</w:t>
            </w:r>
            <w:r w:rsidR="00B25D90">
              <w:rPr>
                <w:rFonts w:ascii="標楷體" w:hAnsi="標楷體" w:hint="eastAsia"/>
                <w:kern w:val="0"/>
                <w:szCs w:val="24"/>
              </w:rPr>
              <w:t>水質（量）</w:t>
            </w:r>
            <w:r w:rsidRPr="0071176D">
              <w:rPr>
                <w:rFonts w:ascii="標楷體" w:hAnsi="標楷體" w:hint="eastAsia"/>
                <w:kern w:val="0"/>
                <w:szCs w:val="24"/>
              </w:rPr>
              <w:t>自動監測（視）及連線傳輸設施操作維護等之費用成本。</w:t>
            </w:r>
          </w:p>
          <w:p w:rsidR="0071176D" w:rsidRPr="00732380"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二、依污泥</w:t>
            </w:r>
            <w:r w:rsidRPr="00732380">
              <w:rPr>
                <w:rFonts w:ascii="標楷體" w:hAnsi="標楷體" w:hint="eastAsia"/>
                <w:kern w:val="0"/>
                <w:szCs w:val="24"/>
              </w:rPr>
              <w:t>短少量計算</w:t>
            </w:r>
            <w:r w:rsidR="00E30D8B">
              <w:rPr>
                <w:rFonts w:ascii="標楷體" w:hAnsi="標楷體" w:hint="eastAsia"/>
                <w:kern w:val="0"/>
                <w:szCs w:val="24"/>
              </w:rPr>
              <w:t>：</w:t>
            </w:r>
          </w:p>
          <w:p w:rsidR="0071176D" w:rsidRPr="0071176D" w:rsidRDefault="0071176D" w:rsidP="0071176D">
            <w:pPr>
              <w:adjustRightInd w:val="0"/>
              <w:ind w:leftChars="250" w:left="600" w:firstLine="1"/>
              <w:jc w:val="both"/>
              <w:textAlignment w:val="baseline"/>
              <w:rPr>
                <w:rFonts w:ascii="標楷體" w:hAnsi="標楷體"/>
                <w:kern w:val="0"/>
                <w:szCs w:val="24"/>
              </w:rPr>
            </w:pPr>
            <w:r w:rsidRPr="00732380">
              <w:rPr>
                <w:rFonts w:ascii="標楷體" w:hAnsi="標楷體" w:hint="eastAsia"/>
                <w:kern w:val="0"/>
                <w:szCs w:val="24"/>
              </w:rPr>
              <w:t>污泥短少量（公斤）</w:t>
            </w:r>
            <w:r w:rsidRPr="00732380">
              <w:rPr>
                <w:rFonts w:ascii="標楷體" w:hAnsi="標楷體"/>
                <w:kern w:val="0"/>
                <w:szCs w:val="24"/>
              </w:rPr>
              <w:sym w:font="Wingdings 2" w:char="F0CD"/>
            </w:r>
            <w:r w:rsidRPr="00732380">
              <w:rPr>
                <w:rFonts w:ascii="標楷體" w:hAnsi="標楷體" w:hint="eastAsia"/>
                <w:kern w:val="0"/>
                <w:szCs w:val="24"/>
              </w:rPr>
              <w:t>單位污泥之廢水處理成本</w:t>
            </w:r>
            <w:r w:rsidRPr="0071176D">
              <w:rPr>
                <w:rFonts w:ascii="標楷體" w:hAnsi="標楷體" w:hint="eastAsia"/>
                <w:kern w:val="0"/>
                <w:szCs w:val="24"/>
              </w:rPr>
              <w:t>（元</w:t>
            </w:r>
            <w:r w:rsidRPr="0071176D">
              <w:rPr>
                <w:rFonts w:ascii="標楷體" w:hAnsi="標楷體"/>
                <w:kern w:val="0"/>
                <w:szCs w:val="24"/>
              </w:rPr>
              <w:t>/公斤）</w:t>
            </w:r>
            <w:r w:rsidRPr="0071176D">
              <w:rPr>
                <w:rFonts w:ascii="標楷體" w:hAnsi="標楷體" w:hint="eastAsia"/>
                <w:kern w:val="0"/>
                <w:szCs w:val="24"/>
              </w:rPr>
              <w:t>＋其他年支出費用（元）</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（一）污泥短少量</w:t>
            </w:r>
            <w:r w:rsidRPr="0071176D">
              <w:rPr>
                <w:rFonts w:ascii="標楷體" w:hAnsi="標楷體"/>
                <w:kern w:val="0"/>
                <w:szCs w:val="24"/>
              </w:rPr>
              <w:t>=</w:t>
            </w:r>
            <w:r w:rsidRPr="0071176D">
              <w:rPr>
                <w:rFonts w:ascii="標楷體" w:hAnsi="標楷體" w:hint="eastAsia"/>
                <w:kern w:val="0"/>
                <w:szCs w:val="24"/>
              </w:rPr>
              <w:t>理論污泥產生量</w:t>
            </w:r>
            <w:r w:rsidRPr="0071176D">
              <w:rPr>
                <w:rFonts w:ascii="標楷體" w:hAnsi="標楷體"/>
                <w:kern w:val="0"/>
                <w:szCs w:val="24"/>
              </w:rPr>
              <w:t>(公斤)－實際污泥</w:t>
            </w:r>
            <w:r w:rsidRPr="0071176D">
              <w:rPr>
                <w:rFonts w:ascii="標楷體" w:hAnsi="標楷體" w:hint="eastAsia"/>
                <w:kern w:val="0"/>
                <w:szCs w:val="24"/>
              </w:rPr>
              <w:t>產生量</w:t>
            </w:r>
            <w:r w:rsidRPr="0071176D">
              <w:rPr>
                <w:rFonts w:ascii="標楷體" w:hAnsi="標楷體"/>
                <w:kern w:val="0"/>
                <w:szCs w:val="24"/>
              </w:rPr>
              <w:t>(公斤)</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（二）理論污泥產生量</w:t>
            </w:r>
            <w:r w:rsidRPr="0071176D">
              <w:rPr>
                <w:rFonts w:ascii="標楷體" w:hAnsi="標楷體"/>
                <w:kern w:val="0"/>
                <w:szCs w:val="24"/>
              </w:rPr>
              <w:t>=</w:t>
            </w:r>
            <w:r w:rsidRPr="0071176D">
              <w:rPr>
                <w:rFonts w:ascii="標楷體" w:hAnsi="標楷體" w:hint="eastAsia"/>
                <w:kern w:val="0"/>
                <w:szCs w:val="24"/>
              </w:rPr>
              <w:t>廢（污）水量</w:t>
            </w:r>
            <w:r w:rsidRPr="0071176D">
              <w:rPr>
                <w:rFonts w:ascii="標楷體" w:hAnsi="標楷體"/>
                <w:kern w:val="0"/>
                <w:szCs w:val="24"/>
              </w:rPr>
              <w:t>(立方公尺)</w:t>
            </w:r>
            <w:r w:rsidRPr="0071176D">
              <w:rPr>
                <w:rFonts w:ascii="標楷體" w:hAnsi="標楷體" w:hint="eastAsia"/>
                <w:kern w:val="0"/>
                <w:szCs w:val="24"/>
              </w:rPr>
              <w:t>×處理每單位廢水所產生初始污泥、生物污泥及化學污泥之理論乾污泥量</w:t>
            </w:r>
            <w:r w:rsidRPr="0071176D">
              <w:rPr>
                <w:rFonts w:ascii="標楷體" w:hAnsi="標楷體"/>
                <w:kern w:val="0"/>
                <w:szCs w:val="24"/>
              </w:rPr>
              <w:t>(公斤/立方公尺)</w:t>
            </w:r>
            <w:r w:rsidRPr="0071176D">
              <w:rPr>
                <w:rFonts w:ascii="標楷體" w:hAnsi="標楷體"/>
                <w:kern w:val="0"/>
                <w:szCs w:val="24"/>
              </w:rPr>
              <w:sym w:font="Symbol" w:char="F0B8"/>
            </w:r>
            <w:r w:rsidRPr="0071176D">
              <w:rPr>
                <w:rFonts w:ascii="標楷體" w:hAnsi="標楷體"/>
                <w:kern w:val="0"/>
                <w:szCs w:val="24"/>
              </w:rPr>
              <w:t>(1-</w:t>
            </w:r>
            <w:r w:rsidRPr="0071176D">
              <w:rPr>
                <w:rFonts w:ascii="標楷體" w:hAnsi="標楷體" w:hint="eastAsia"/>
                <w:kern w:val="0"/>
                <w:szCs w:val="24"/>
              </w:rPr>
              <w:t>污</w:t>
            </w:r>
            <w:r w:rsidRPr="0071176D">
              <w:rPr>
                <w:rFonts w:ascii="標楷體" w:hAnsi="標楷體" w:hint="eastAsia"/>
                <w:kern w:val="0"/>
                <w:szCs w:val="24"/>
              </w:rPr>
              <w:lastRenderedPageBreak/>
              <w:t>泥含水率</w:t>
            </w:r>
            <w:r w:rsidRPr="0071176D">
              <w:rPr>
                <w:rFonts w:ascii="標楷體" w:hAnsi="標楷體"/>
                <w:kern w:val="0"/>
                <w:szCs w:val="24"/>
              </w:rPr>
              <w:t xml:space="preserve">) </w:t>
            </w:r>
          </w:p>
          <w:p w:rsidR="0071176D" w:rsidRPr="0071176D" w:rsidRDefault="0071176D" w:rsidP="0071176D">
            <w:pPr>
              <w:adjustRightInd w:val="0"/>
              <w:ind w:leftChars="244" w:left="1308" w:hangingChars="301" w:hanging="722"/>
              <w:jc w:val="both"/>
              <w:textAlignment w:val="baseline"/>
              <w:rPr>
                <w:rFonts w:ascii="標楷體" w:hAnsi="標楷體"/>
                <w:kern w:val="0"/>
                <w:szCs w:val="24"/>
              </w:rPr>
            </w:pPr>
            <w:r w:rsidRPr="0071176D">
              <w:rPr>
                <w:rFonts w:ascii="標楷體" w:hAnsi="標楷體" w:hint="eastAsia"/>
                <w:kern w:val="0"/>
                <w:szCs w:val="24"/>
              </w:rPr>
              <w:t>（三）</w:t>
            </w:r>
            <w:r w:rsidRPr="00732380">
              <w:rPr>
                <w:rFonts w:ascii="標楷體" w:hAnsi="標楷體" w:hint="eastAsia"/>
                <w:kern w:val="0"/>
                <w:szCs w:val="24"/>
              </w:rPr>
              <w:t>單位污泥之廢水處理成本係指產生每單位污泥所應支</w:t>
            </w:r>
            <w:r w:rsidRPr="0071176D">
              <w:rPr>
                <w:rFonts w:ascii="標楷體" w:hAnsi="標楷體" w:hint="eastAsia"/>
                <w:kern w:val="0"/>
                <w:szCs w:val="24"/>
              </w:rPr>
              <w:t>出之電力、燃料、藥品及材料使用、污泥清除處理、污水下水道使用等之費用成本。</w:t>
            </w:r>
          </w:p>
          <w:p w:rsidR="0071176D" w:rsidRPr="0071176D" w:rsidRDefault="0071176D" w:rsidP="00B25D90">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前條第三款經常性支出成本，與廢（污）水量或污泥量無關者，依其違法行為相關事證，推估所需支出之人事費、電費、差旅費、監（檢）測、</w:t>
            </w:r>
            <w:r w:rsidR="00B25D90">
              <w:rPr>
                <w:rFonts w:ascii="標楷體" w:hAnsi="標楷體" w:hint="eastAsia"/>
                <w:kern w:val="0"/>
                <w:szCs w:val="24"/>
              </w:rPr>
              <w:t>記</w:t>
            </w:r>
            <w:r w:rsidRPr="0071176D">
              <w:rPr>
                <w:rFonts w:ascii="標楷體" w:hAnsi="標楷體" w:hint="eastAsia"/>
                <w:kern w:val="0"/>
                <w:szCs w:val="24"/>
              </w:rPr>
              <w:t>錄</w:t>
            </w:r>
            <w:r w:rsidR="00B25D90">
              <w:rPr>
                <w:rFonts w:ascii="標楷體" w:hAnsi="標楷體" w:hint="eastAsia"/>
                <w:kern w:val="0"/>
                <w:szCs w:val="24"/>
              </w:rPr>
              <w:t>、</w:t>
            </w:r>
            <w:r w:rsidRPr="0071176D">
              <w:rPr>
                <w:rFonts w:ascii="標楷體" w:hAnsi="標楷體" w:hint="eastAsia"/>
                <w:kern w:val="0"/>
                <w:szCs w:val="24"/>
              </w:rPr>
              <w:t>申報、藥品及材料使用費等符合本法義務所應支出之費用。</w:t>
            </w:r>
          </w:p>
        </w:tc>
        <w:tc>
          <w:tcPr>
            <w:tcW w:w="2500" w:type="pct"/>
          </w:tcPr>
          <w:p w:rsidR="0071176D" w:rsidRPr="0071176D" w:rsidRDefault="003C1BB5" w:rsidP="0071176D">
            <w:pPr>
              <w:adjustRightInd w:val="0"/>
              <w:ind w:left="480" w:hangingChars="200" w:hanging="480"/>
              <w:jc w:val="both"/>
              <w:textAlignment w:val="baseline"/>
              <w:rPr>
                <w:rFonts w:ascii="標楷體" w:hAnsi="標楷體"/>
                <w:kern w:val="0"/>
                <w:szCs w:val="24"/>
              </w:rPr>
            </w:pPr>
            <w:r>
              <w:rPr>
                <w:rFonts w:ascii="標楷體" w:hAnsi="標楷體" w:hint="eastAsia"/>
                <w:kern w:val="0"/>
                <w:szCs w:val="24"/>
              </w:rPr>
              <w:lastRenderedPageBreak/>
              <w:t>一、</w:t>
            </w:r>
            <w:r w:rsidR="0071176D" w:rsidRPr="0071176D">
              <w:rPr>
                <w:rFonts w:ascii="標楷體" w:hAnsi="標楷體" w:hint="eastAsia"/>
                <w:kern w:val="0"/>
                <w:szCs w:val="24"/>
              </w:rPr>
              <w:t>消極利益之核算、推估方法。</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二、第三項係參考高雄高等行政法院</w:t>
            </w:r>
            <w:proofErr w:type="gramStart"/>
            <w:r w:rsidRPr="0071176D">
              <w:rPr>
                <w:rFonts w:ascii="標楷體" w:hAnsi="標楷體" w:hint="eastAsia"/>
                <w:kern w:val="0"/>
                <w:szCs w:val="24"/>
              </w:rPr>
              <w:t>一０一年度訴字第一</w:t>
            </w:r>
            <w:proofErr w:type="gramEnd"/>
            <w:r w:rsidRPr="0071176D">
              <w:rPr>
                <w:rFonts w:ascii="標楷體" w:hAnsi="標楷體" w:hint="eastAsia"/>
                <w:kern w:val="0"/>
                <w:szCs w:val="24"/>
              </w:rPr>
              <w:t>七九號判決。</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lastRenderedPageBreak/>
              <w:t>三、第四項第一款所稱單位廢水處理成本，引用數據、資料為中央主管機關規定之許可資料，得由水污染防</w:t>
            </w:r>
            <w:bookmarkStart w:id="0" w:name="_GoBack"/>
            <w:bookmarkEnd w:id="0"/>
            <w:r w:rsidRPr="0071176D">
              <w:rPr>
                <w:rFonts w:ascii="標楷體" w:hAnsi="標楷體" w:hint="eastAsia"/>
                <w:kern w:val="0"/>
                <w:szCs w:val="24"/>
              </w:rPr>
              <w:t>治許可證（文件）之水污染防治措施資料</w:t>
            </w:r>
            <w:r w:rsidRPr="0071176D">
              <w:rPr>
                <w:rFonts w:ascii="標楷體" w:hAnsi="標楷體"/>
                <w:kern w:val="0"/>
                <w:szCs w:val="24"/>
              </w:rPr>
              <w:t>/廢（污）水（前）處理設施資料表</w:t>
            </w:r>
            <w:r w:rsidRPr="0071176D">
              <w:rPr>
                <w:rFonts w:ascii="標楷體" w:hAnsi="標楷體" w:hint="eastAsia"/>
                <w:kern w:val="0"/>
                <w:szCs w:val="24"/>
              </w:rPr>
              <w:t>之一、操作頻率、處理來源及水量，及八、廢（污）水（前）處理設施相關成本取得；為中央主管機關規定之申報資料，得由廢（污）水（前）處理設施操作申報表</w:t>
            </w:r>
            <w:proofErr w:type="gramStart"/>
            <w:r w:rsidRPr="0071176D">
              <w:rPr>
                <w:rFonts w:ascii="標楷體" w:hAnsi="標楷體" w:hint="eastAsia"/>
                <w:kern w:val="0"/>
                <w:szCs w:val="24"/>
              </w:rPr>
              <w:t>之壹、</w:t>
            </w:r>
            <w:proofErr w:type="gramEnd"/>
            <w:r w:rsidRPr="0071176D">
              <w:rPr>
                <w:rFonts w:ascii="標楷體" w:hAnsi="標楷體" w:hint="eastAsia"/>
                <w:kern w:val="0"/>
                <w:szCs w:val="24"/>
              </w:rPr>
              <w:t>各套處理設施操作情形之一、廢（污）水（前）處理設施之處理水來源及水量，及四、廢（污）水（前）處理設施相關成本狀況取得。</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四、第四項第二款</w:t>
            </w:r>
            <w:proofErr w:type="gramStart"/>
            <w:r w:rsidRPr="0071176D">
              <w:rPr>
                <w:rFonts w:ascii="標楷體" w:hAnsi="標楷體" w:hint="eastAsia"/>
                <w:kern w:val="0"/>
                <w:szCs w:val="24"/>
              </w:rPr>
              <w:t>所稱初始</w:t>
            </w:r>
            <w:proofErr w:type="gramEnd"/>
            <w:r w:rsidRPr="0071176D">
              <w:rPr>
                <w:rFonts w:ascii="標楷體" w:hAnsi="標楷體" w:hint="eastAsia"/>
                <w:kern w:val="0"/>
                <w:szCs w:val="24"/>
              </w:rPr>
              <w:t>污泥，</w:t>
            </w:r>
            <w:proofErr w:type="gramStart"/>
            <w:r w:rsidRPr="0071176D">
              <w:rPr>
                <w:rFonts w:ascii="標楷體" w:hAnsi="標楷體" w:hint="eastAsia"/>
                <w:kern w:val="0"/>
                <w:szCs w:val="24"/>
              </w:rPr>
              <w:t>指廢</w:t>
            </w:r>
            <w:proofErr w:type="gramEnd"/>
            <w:r w:rsidRPr="0071176D">
              <w:rPr>
                <w:rFonts w:ascii="標楷體" w:hAnsi="標楷體"/>
                <w:kern w:val="0"/>
                <w:szCs w:val="24"/>
              </w:rPr>
              <w:t>(污)水經</w:t>
            </w:r>
            <w:proofErr w:type="gramStart"/>
            <w:r w:rsidRPr="0071176D">
              <w:rPr>
                <w:rFonts w:ascii="標楷體" w:hAnsi="標楷體" w:hint="eastAsia"/>
                <w:kern w:val="0"/>
                <w:szCs w:val="24"/>
              </w:rPr>
              <w:t>沉砂或浮除</w:t>
            </w:r>
            <w:proofErr w:type="gramEnd"/>
            <w:r w:rsidRPr="0071176D">
              <w:rPr>
                <w:rFonts w:ascii="標楷體" w:hAnsi="標楷體" w:hint="eastAsia"/>
                <w:kern w:val="0"/>
                <w:szCs w:val="24"/>
              </w:rPr>
              <w:t>等前段</w:t>
            </w:r>
            <w:r w:rsidRPr="0071176D">
              <w:rPr>
                <w:rFonts w:ascii="標楷體" w:hAnsi="標楷體"/>
                <w:kern w:val="0"/>
                <w:szCs w:val="24"/>
              </w:rPr>
              <w:t>處理設施處理後，水中可</w:t>
            </w:r>
            <w:proofErr w:type="gramStart"/>
            <w:r w:rsidRPr="0071176D">
              <w:rPr>
                <w:rFonts w:ascii="標楷體" w:hAnsi="標楷體" w:hint="eastAsia"/>
                <w:kern w:val="0"/>
                <w:szCs w:val="24"/>
              </w:rPr>
              <w:t>沉</w:t>
            </w:r>
            <w:proofErr w:type="gramEnd"/>
            <w:r w:rsidRPr="0071176D">
              <w:rPr>
                <w:rFonts w:ascii="標楷體" w:hAnsi="標楷體" w:hint="eastAsia"/>
                <w:kern w:val="0"/>
                <w:szCs w:val="24"/>
              </w:rPr>
              <w:t>降或上浮之固體；生物</w:t>
            </w:r>
            <w:proofErr w:type="gramStart"/>
            <w:r w:rsidRPr="0071176D">
              <w:rPr>
                <w:rFonts w:ascii="標楷體" w:hAnsi="標楷體" w:hint="eastAsia"/>
                <w:kern w:val="0"/>
                <w:szCs w:val="24"/>
              </w:rPr>
              <w:t>污泥指廢</w:t>
            </w:r>
            <w:proofErr w:type="gramEnd"/>
            <w:r w:rsidRPr="0071176D">
              <w:rPr>
                <w:rFonts w:ascii="標楷體" w:hAnsi="標楷體"/>
                <w:kern w:val="0"/>
                <w:szCs w:val="24"/>
              </w:rPr>
              <w:t>(污)水經生物處理過程，微生物分解水中有機物所生成之污泥；化學</w:t>
            </w:r>
            <w:proofErr w:type="gramStart"/>
            <w:r w:rsidRPr="0071176D">
              <w:rPr>
                <w:rFonts w:ascii="標楷體" w:hAnsi="標楷體" w:hint="eastAsia"/>
                <w:kern w:val="0"/>
                <w:szCs w:val="24"/>
              </w:rPr>
              <w:t>污泥指廢</w:t>
            </w:r>
            <w:proofErr w:type="gramEnd"/>
            <w:r w:rsidRPr="0071176D">
              <w:rPr>
                <w:rFonts w:ascii="標楷體" w:hAnsi="標楷體"/>
                <w:kern w:val="0"/>
                <w:szCs w:val="24"/>
              </w:rPr>
              <w:t>(污)水加入化學混凝藥劑，膠體或懸浮固體凝聚所生成之污泥。</w:t>
            </w:r>
          </w:p>
        </w:tc>
      </w:tr>
      <w:tr w:rsidR="005172D8" w:rsidRPr="0071176D" w:rsidTr="00EC5F86">
        <w:tc>
          <w:tcPr>
            <w:tcW w:w="2500" w:type="pct"/>
          </w:tcPr>
          <w:p w:rsidR="005172D8" w:rsidRPr="00485F5F" w:rsidRDefault="005172D8" w:rsidP="002E643A">
            <w:pPr>
              <w:adjustRightInd w:val="0"/>
              <w:ind w:leftChars="-2" w:left="245" w:hangingChars="104" w:hanging="250"/>
              <w:jc w:val="both"/>
              <w:textAlignment w:val="baseline"/>
              <w:rPr>
                <w:rFonts w:ascii="標楷體" w:hAnsi="標楷體"/>
                <w:kern w:val="0"/>
                <w:szCs w:val="24"/>
              </w:rPr>
            </w:pPr>
            <w:r w:rsidRPr="00485F5F">
              <w:rPr>
                <w:rFonts w:ascii="標楷體" w:hAnsi="標楷體" w:hint="eastAsia"/>
                <w:kern w:val="0"/>
                <w:szCs w:val="24"/>
              </w:rPr>
              <w:lastRenderedPageBreak/>
              <w:t xml:space="preserve">第九條　</w:t>
            </w:r>
            <w:r w:rsidR="00C6370A" w:rsidRPr="00485F5F">
              <w:rPr>
                <w:rFonts w:ascii="標楷體" w:hAnsi="標楷體" w:hint="eastAsia"/>
                <w:kern w:val="0"/>
                <w:szCs w:val="24"/>
              </w:rPr>
              <w:t>本辦法計算積極利益或消極利益所</w:t>
            </w:r>
            <w:r w:rsidRPr="00485F5F">
              <w:rPr>
                <w:rFonts w:ascii="標楷體" w:hAnsi="標楷體" w:hint="eastAsia"/>
                <w:kern w:val="0"/>
                <w:szCs w:val="24"/>
              </w:rPr>
              <w:t>引用數據</w:t>
            </w:r>
            <w:r w:rsidR="00C6370A" w:rsidRPr="00485F5F">
              <w:rPr>
                <w:rFonts w:ascii="標楷體" w:hAnsi="標楷體" w:hint="eastAsia"/>
                <w:kern w:val="0"/>
                <w:szCs w:val="24"/>
              </w:rPr>
              <w:t>及</w:t>
            </w:r>
            <w:r w:rsidRPr="00485F5F">
              <w:rPr>
                <w:rFonts w:ascii="標楷體" w:hAnsi="標楷體" w:hint="eastAsia"/>
                <w:kern w:val="0"/>
                <w:szCs w:val="24"/>
              </w:rPr>
              <w:t>資料</w:t>
            </w:r>
            <w:r w:rsidR="00777063">
              <w:rPr>
                <w:rFonts w:ascii="標楷體" w:hAnsi="標楷體" w:hint="eastAsia"/>
                <w:kern w:val="0"/>
                <w:szCs w:val="24"/>
              </w:rPr>
              <w:t>來源</w:t>
            </w:r>
            <w:r w:rsidRPr="00485F5F">
              <w:rPr>
                <w:rFonts w:ascii="標楷體" w:hAnsi="標楷體" w:hint="eastAsia"/>
                <w:kern w:val="0"/>
                <w:szCs w:val="24"/>
              </w:rPr>
              <w:t>如下：</w:t>
            </w:r>
          </w:p>
          <w:p w:rsidR="005172D8" w:rsidRPr="00485F5F" w:rsidRDefault="005172D8" w:rsidP="002E643A">
            <w:pPr>
              <w:adjustRightInd w:val="0"/>
              <w:ind w:leftChars="112" w:left="708" w:hangingChars="183" w:hanging="439"/>
              <w:textAlignment w:val="baseline"/>
              <w:rPr>
                <w:rFonts w:ascii="標楷體" w:hAnsi="標楷體"/>
                <w:kern w:val="0"/>
                <w:szCs w:val="24"/>
              </w:rPr>
            </w:pPr>
            <w:r w:rsidRPr="00485F5F">
              <w:rPr>
                <w:rFonts w:ascii="標楷體" w:hAnsi="標楷體" w:hint="eastAsia"/>
                <w:kern w:val="0"/>
                <w:szCs w:val="24"/>
              </w:rPr>
              <w:t>一、符合中央主管機關或目的事業主管機關規定之許可、申報、監（檢）測、查證資料。</w:t>
            </w:r>
          </w:p>
          <w:p w:rsidR="005172D8" w:rsidRPr="00485F5F" w:rsidRDefault="005172D8" w:rsidP="002E643A">
            <w:pPr>
              <w:adjustRightInd w:val="0"/>
              <w:ind w:leftChars="112" w:left="708" w:hangingChars="183" w:hanging="439"/>
              <w:textAlignment w:val="baseline"/>
              <w:rPr>
                <w:rFonts w:ascii="標楷體" w:hAnsi="標楷體"/>
                <w:kern w:val="0"/>
                <w:szCs w:val="24"/>
              </w:rPr>
            </w:pPr>
            <w:r w:rsidRPr="00485F5F">
              <w:rPr>
                <w:rFonts w:ascii="標楷體" w:hAnsi="標楷體" w:hint="eastAsia"/>
                <w:kern w:val="0"/>
                <w:szCs w:val="24"/>
              </w:rPr>
              <w:t>二、主管機關查證結果或有</w:t>
            </w:r>
            <w:r w:rsidR="003A5AE7" w:rsidRPr="00485F5F">
              <w:rPr>
                <w:rFonts w:ascii="標楷體" w:hAnsi="標楷體" w:hint="eastAsia"/>
                <w:kern w:val="0"/>
                <w:szCs w:val="24"/>
              </w:rPr>
              <w:t>積極</w:t>
            </w:r>
            <w:r w:rsidRPr="00485F5F">
              <w:rPr>
                <w:rFonts w:ascii="標楷體" w:hAnsi="標楷體" w:hint="eastAsia"/>
                <w:kern w:val="0"/>
                <w:szCs w:val="24"/>
              </w:rPr>
              <w:t>利益者</w:t>
            </w:r>
            <w:r w:rsidR="00777063">
              <w:rPr>
                <w:rFonts w:ascii="標楷體" w:hAnsi="標楷體" w:hint="eastAsia"/>
                <w:kern w:val="0"/>
                <w:szCs w:val="24"/>
              </w:rPr>
              <w:t>所</w:t>
            </w:r>
            <w:r w:rsidRPr="00485F5F">
              <w:rPr>
                <w:rFonts w:ascii="標楷體" w:hAnsi="標楷體" w:hint="eastAsia"/>
                <w:kern w:val="0"/>
                <w:szCs w:val="24"/>
              </w:rPr>
              <w:t>提供並經主管機關查證之進貨、生產、銷貨、存貨憑證、</w:t>
            </w:r>
            <w:proofErr w:type="gramStart"/>
            <w:r w:rsidRPr="00485F5F">
              <w:rPr>
                <w:rFonts w:ascii="標楷體" w:hAnsi="標楷體" w:hint="eastAsia"/>
                <w:kern w:val="0"/>
                <w:szCs w:val="24"/>
              </w:rPr>
              <w:t>帳冊</w:t>
            </w:r>
            <w:proofErr w:type="gramEnd"/>
            <w:r w:rsidRPr="00485F5F">
              <w:rPr>
                <w:rFonts w:ascii="標楷體" w:hAnsi="標楷體" w:hint="eastAsia"/>
                <w:kern w:val="0"/>
                <w:szCs w:val="24"/>
              </w:rPr>
              <w:t>、報表</w:t>
            </w:r>
            <w:r w:rsidR="003A5AE7" w:rsidRPr="00485F5F">
              <w:rPr>
                <w:rFonts w:ascii="標楷體" w:hAnsi="標楷體" w:hint="eastAsia"/>
                <w:kern w:val="0"/>
                <w:szCs w:val="24"/>
              </w:rPr>
              <w:t>、報酬</w:t>
            </w:r>
            <w:r w:rsidRPr="00485F5F">
              <w:rPr>
                <w:rFonts w:ascii="標楷體" w:hAnsi="標楷體" w:hint="eastAsia"/>
                <w:kern w:val="0"/>
                <w:szCs w:val="24"/>
              </w:rPr>
              <w:t>及其他產銷營運或輸出入之相關資料。</w:t>
            </w:r>
          </w:p>
          <w:p w:rsidR="005172D8" w:rsidRPr="00485F5F" w:rsidRDefault="005172D8" w:rsidP="002E643A">
            <w:pPr>
              <w:adjustRightInd w:val="0"/>
              <w:ind w:leftChars="112" w:left="708" w:hangingChars="183" w:hanging="439"/>
              <w:textAlignment w:val="baseline"/>
              <w:rPr>
                <w:rFonts w:ascii="標楷體" w:hAnsi="標楷體"/>
                <w:kern w:val="0"/>
                <w:szCs w:val="24"/>
              </w:rPr>
            </w:pPr>
            <w:r w:rsidRPr="00485F5F">
              <w:rPr>
                <w:rFonts w:ascii="標楷體" w:hAnsi="標楷體" w:hint="eastAsia"/>
                <w:kern w:val="0"/>
                <w:szCs w:val="24"/>
              </w:rPr>
              <w:t>三、有消極利益者</w:t>
            </w:r>
            <w:r w:rsidR="00777063">
              <w:rPr>
                <w:rFonts w:ascii="標楷體" w:hAnsi="標楷體" w:hint="eastAsia"/>
                <w:kern w:val="0"/>
                <w:szCs w:val="24"/>
              </w:rPr>
              <w:t>所</w:t>
            </w:r>
            <w:r w:rsidRPr="00485F5F">
              <w:rPr>
                <w:rFonts w:ascii="標楷體" w:hAnsi="標楷體" w:hint="eastAsia"/>
                <w:kern w:val="0"/>
                <w:szCs w:val="24"/>
              </w:rPr>
              <w:t>提供並經主管機關查證之相關資料，</w:t>
            </w:r>
            <w:proofErr w:type="gramStart"/>
            <w:r w:rsidRPr="00485F5F">
              <w:rPr>
                <w:rFonts w:ascii="標楷體" w:hAnsi="標楷體" w:hint="eastAsia"/>
                <w:kern w:val="0"/>
                <w:szCs w:val="24"/>
              </w:rPr>
              <w:t>如委外</w:t>
            </w:r>
            <w:proofErr w:type="gramEnd"/>
            <w:r w:rsidRPr="00485F5F">
              <w:rPr>
                <w:rFonts w:ascii="標楷體" w:hAnsi="標楷體" w:hint="eastAsia"/>
                <w:kern w:val="0"/>
                <w:szCs w:val="24"/>
              </w:rPr>
              <w:t>監（檢）測或清除處理合約、藥品費、人事費、污水下水道使用等實際操作成本單據等。</w:t>
            </w:r>
          </w:p>
          <w:p w:rsidR="005172D8" w:rsidRPr="00485F5F" w:rsidRDefault="005172D8" w:rsidP="002E643A">
            <w:pPr>
              <w:adjustRightInd w:val="0"/>
              <w:ind w:leftChars="112" w:left="708" w:hangingChars="183" w:hanging="439"/>
              <w:textAlignment w:val="baseline"/>
              <w:rPr>
                <w:rFonts w:ascii="標楷體" w:hAnsi="標楷體"/>
                <w:kern w:val="0"/>
                <w:szCs w:val="24"/>
              </w:rPr>
            </w:pPr>
            <w:r w:rsidRPr="00485F5F">
              <w:rPr>
                <w:rFonts w:ascii="標楷體" w:hAnsi="標楷體" w:hint="eastAsia"/>
                <w:kern w:val="0"/>
                <w:szCs w:val="24"/>
              </w:rPr>
              <w:t>四、財政部稅務行業標準分類暨同業利潤標準。</w:t>
            </w:r>
          </w:p>
          <w:p w:rsidR="005172D8" w:rsidRPr="00485F5F" w:rsidRDefault="005172D8" w:rsidP="002E643A">
            <w:pPr>
              <w:adjustRightInd w:val="0"/>
              <w:ind w:leftChars="112" w:left="708" w:hangingChars="183" w:hanging="439"/>
              <w:textAlignment w:val="baseline"/>
              <w:rPr>
                <w:rFonts w:ascii="標楷體" w:hAnsi="標楷體"/>
                <w:kern w:val="0"/>
                <w:szCs w:val="24"/>
              </w:rPr>
            </w:pPr>
            <w:r w:rsidRPr="00485F5F">
              <w:rPr>
                <w:rFonts w:ascii="標楷體" w:hAnsi="標楷體" w:hint="eastAsia"/>
                <w:kern w:val="0"/>
                <w:szCs w:val="24"/>
              </w:rPr>
              <w:t>五、中央主管機關或目的事業主管機關公告之同業相關標準。</w:t>
            </w:r>
          </w:p>
          <w:p w:rsidR="005172D8" w:rsidRPr="00485F5F" w:rsidRDefault="005172D8" w:rsidP="005172D8">
            <w:pPr>
              <w:adjustRightInd w:val="0"/>
              <w:ind w:leftChars="112" w:left="708" w:hangingChars="183" w:hanging="439"/>
              <w:jc w:val="both"/>
              <w:textAlignment w:val="baseline"/>
              <w:rPr>
                <w:rFonts w:ascii="標楷體" w:hAnsi="標楷體"/>
                <w:kern w:val="0"/>
                <w:szCs w:val="24"/>
              </w:rPr>
            </w:pPr>
            <w:r w:rsidRPr="00485F5F">
              <w:rPr>
                <w:rFonts w:ascii="標楷體" w:hAnsi="標楷體" w:hint="eastAsia"/>
                <w:kern w:val="0"/>
                <w:szCs w:val="24"/>
              </w:rPr>
              <w:t>六、行業污染防治、清潔生產實務手冊等相關政府出版品。</w:t>
            </w:r>
          </w:p>
          <w:p w:rsidR="005172D8" w:rsidRPr="00485F5F" w:rsidRDefault="005172D8" w:rsidP="002E643A">
            <w:pPr>
              <w:adjustRightInd w:val="0"/>
              <w:ind w:leftChars="112" w:left="708" w:hangingChars="183" w:hanging="439"/>
              <w:jc w:val="both"/>
              <w:textAlignment w:val="baseline"/>
              <w:rPr>
                <w:rFonts w:ascii="標楷體" w:hAnsi="標楷體"/>
                <w:kern w:val="0"/>
                <w:szCs w:val="24"/>
              </w:rPr>
            </w:pPr>
            <w:r w:rsidRPr="00485F5F">
              <w:rPr>
                <w:rFonts w:ascii="標楷體" w:hAnsi="標楷體" w:hint="eastAsia"/>
                <w:kern w:val="0"/>
                <w:szCs w:val="24"/>
              </w:rPr>
              <w:t>七、其他經主管機關認可之替代計算數據、資料。</w:t>
            </w:r>
          </w:p>
        </w:tc>
        <w:tc>
          <w:tcPr>
            <w:tcW w:w="2500" w:type="pct"/>
          </w:tcPr>
          <w:p w:rsidR="005172D8" w:rsidRPr="00485F5F" w:rsidRDefault="00C6370A" w:rsidP="002E643A">
            <w:pPr>
              <w:adjustRightInd w:val="0"/>
              <w:jc w:val="both"/>
              <w:textAlignment w:val="baseline"/>
              <w:rPr>
                <w:rFonts w:ascii="標楷體" w:hAnsi="標楷體"/>
                <w:kern w:val="0"/>
                <w:szCs w:val="24"/>
              </w:rPr>
            </w:pPr>
            <w:r w:rsidRPr="00485F5F">
              <w:rPr>
                <w:rFonts w:ascii="標楷體" w:hAnsi="標楷體" w:hint="eastAsia"/>
                <w:kern w:val="0"/>
                <w:szCs w:val="24"/>
              </w:rPr>
              <w:t>計算積極或</w:t>
            </w:r>
            <w:r w:rsidR="005172D8" w:rsidRPr="00485F5F">
              <w:rPr>
                <w:rFonts w:ascii="標楷體" w:hAnsi="標楷體" w:hint="eastAsia"/>
                <w:kern w:val="0"/>
                <w:szCs w:val="24"/>
              </w:rPr>
              <w:t>消極利益引用數據、資料</w:t>
            </w:r>
            <w:r w:rsidR="00332B06" w:rsidRPr="00485F5F">
              <w:rPr>
                <w:rFonts w:ascii="標楷體" w:hAnsi="標楷體" w:hint="eastAsia"/>
                <w:kern w:val="0"/>
                <w:szCs w:val="24"/>
              </w:rPr>
              <w:t>來源</w:t>
            </w:r>
            <w:r w:rsidR="005172D8" w:rsidRPr="00485F5F">
              <w:rPr>
                <w:rFonts w:ascii="標楷體" w:hAnsi="標楷體" w:hint="eastAsia"/>
                <w:kern w:val="0"/>
                <w:szCs w:val="24"/>
              </w:rPr>
              <w:t>。</w:t>
            </w:r>
          </w:p>
        </w:tc>
      </w:tr>
      <w:tr w:rsidR="0071176D" w:rsidRPr="0071176D" w:rsidTr="00EC5F86">
        <w:trPr>
          <w:trHeight w:val="274"/>
        </w:trPr>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hint="eastAsia"/>
                <w:kern w:val="0"/>
                <w:szCs w:val="24"/>
              </w:rPr>
              <w:t>第</w:t>
            </w:r>
            <w:r w:rsidR="00332B06">
              <w:rPr>
                <w:rFonts w:ascii="標楷體" w:hAnsi="標楷體" w:hint="eastAsia"/>
                <w:kern w:val="0"/>
                <w:szCs w:val="24"/>
              </w:rPr>
              <w:t>十</w:t>
            </w:r>
            <w:r w:rsidRPr="0071176D">
              <w:rPr>
                <w:rFonts w:ascii="標楷體" w:hAnsi="標楷體" w:hint="eastAsia"/>
                <w:kern w:val="0"/>
                <w:szCs w:val="24"/>
              </w:rPr>
              <w:t>條　所得利益計算期間之起算日，以認定其違反本法規定之日起為起算日。停止日依下列規定辦理：</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lastRenderedPageBreak/>
              <w:t>一、經主管機關命採取必要防治措施、限期補正或改善者，自命其採取必要防治措施、補正或改善之日起為停止日。</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二、經處分機關、目的事業主管機關命停工（業）、歇業或停止污染行為者，自命其停工（業）、歇業或停止污染行為之日為停止日。</w:t>
            </w:r>
          </w:p>
          <w:p w:rsidR="0071176D" w:rsidRPr="0071176D" w:rsidRDefault="0071176D" w:rsidP="0071176D">
            <w:pPr>
              <w:adjustRightInd w:val="0"/>
              <w:ind w:leftChars="112" w:left="708" w:hangingChars="183" w:hanging="439"/>
              <w:jc w:val="both"/>
              <w:textAlignment w:val="baseline"/>
              <w:rPr>
                <w:rFonts w:ascii="標楷體" w:hAnsi="標楷體"/>
                <w:kern w:val="0"/>
                <w:szCs w:val="24"/>
              </w:rPr>
            </w:pPr>
            <w:r w:rsidRPr="0071176D">
              <w:rPr>
                <w:rFonts w:ascii="標楷體" w:hAnsi="標楷體" w:hint="eastAsia"/>
                <w:kern w:val="0"/>
                <w:szCs w:val="24"/>
              </w:rPr>
              <w:t>三、自報停工（業），經主管機關查證屬實者，自其自報停工（業）之日為停止日。</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經主管機關查驗認定未依規定採取必要防治措施、完成補正、改善、停工（業）、歇業或停止污染行為者，應就前項停止日至主管機關查驗認定實際已採取必要防治措施、完成補正、改善、停工（業）、歇業或停止污染行為之日期間另行計算所得利益總和。</w:t>
            </w:r>
          </w:p>
          <w:p w:rsidR="0071176D" w:rsidRPr="0071176D" w:rsidRDefault="0071176D" w:rsidP="00361158">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所得利益追繳期限適用行政程序法第一百三十一條第一項之規定</w:t>
            </w:r>
            <w:r w:rsidR="001C7A08" w:rsidRPr="00732380">
              <w:rPr>
                <w:rFonts w:ascii="標楷體" w:hAnsi="標楷體" w:hint="eastAsia"/>
                <w:kern w:val="0"/>
                <w:szCs w:val="24"/>
              </w:rPr>
              <w:t>。</w:t>
            </w:r>
          </w:p>
        </w:tc>
        <w:tc>
          <w:tcPr>
            <w:tcW w:w="2500" w:type="pct"/>
          </w:tcPr>
          <w:p w:rsidR="0071176D" w:rsidRPr="0071176D" w:rsidRDefault="00AD4173" w:rsidP="0071176D">
            <w:pPr>
              <w:adjustRightInd w:val="0"/>
              <w:ind w:left="480" w:hangingChars="200" w:hanging="480"/>
              <w:jc w:val="both"/>
              <w:textAlignment w:val="baseline"/>
              <w:rPr>
                <w:rFonts w:ascii="標楷體" w:hAnsi="標楷體"/>
                <w:kern w:val="0"/>
                <w:szCs w:val="24"/>
              </w:rPr>
            </w:pPr>
            <w:r>
              <w:rPr>
                <w:rFonts w:ascii="標楷體" w:hAnsi="標楷體" w:hint="eastAsia"/>
                <w:kern w:val="0"/>
                <w:szCs w:val="24"/>
              </w:rPr>
              <w:lastRenderedPageBreak/>
              <w:t>一、</w:t>
            </w:r>
            <w:r w:rsidR="0071176D" w:rsidRPr="0071176D">
              <w:rPr>
                <w:rFonts w:ascii="標楷體" w:hAnsi="標楷體" w:hint="eastAsia"/>
                <w:kern w:val="0"/>
                <w:szCs w:val="24"/>
              </w:rPr>
              <w:t>所得利益計算期間認定方式。</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二、參考違反水污染防治法裁處不法利得稽查及裁處作業要點第十點定</w:t>
            </w:r>
            <w:r w:rsidRPr="0071176D">
              <w:rPr>
                <w:rFonts w:ascii="標楷體" w:hAnsi="標楷體" w:hint="eastAsia"/>
                <w:kern w:val="0"/>
                <w:szCs w:val="24"/>
              </w:rPr>
              <w:lastRenderedPageBreak/>
              <w:t>之。</w:t>
            </w:r>
          </w:p>
          <w:p w:rsidR="0071176D" w:rsidRPr="00732380" w:rsidRDefault="003C1BB5" w:rsidP="0071176D">
            <w:pPr>
              <w:adjustRightInd w:val="0"/>
              <w:ind w:left="480" w:hangingChars="200" w:hanging="480"/>
              <w:jc w:val="both"/>
              <w:textAlignment w:val="baseline"/>
              <w:rPr>
                <w:rFonts w:ascii="標楷體" w:hAnsi="標楷體"/>
                <w:kern w:val="0"/>
                <w:szCs w:val="24"/>
              </w:rPr>
            </w:pPr>
            <w:r>
              <w:rPr>
                <w:rFonts w:ascii="標楷體" w:hAnsi="標楷體" w:hint="eastAsia"/>
                <w:kern w:val="0"/>
                <w:szCs w:val="24"/>
              </w:rPr>
              <w:t>三、考量</w:t>
            </w:r>
            <w:r w:rsidR="0071176D" w:rsidRPr="0071176D">
              <w:rPr>
                <w:rFonts w:ascii="標楷體" w:hAnsi="標楷體" w:hint="eastAsia"/>
                <w:kern w:val="0"/>
                <w:szCs w:val="24"/>
              </w:rPr>
              <w:t>不法利得之追繳，</w:t>
            </w:r>
            <w:r>
              <w:rPr>
                <w:rFonts w:ascii="標楷體" w:hAnsi="標楷體" w:hint="eastAsia"/>
                <w:kern w:val="0"/>
                <w:szCs w:val="24"/>
              </w:rPr>
              <w:t>係</w:t>
            </w:r>
            <w:r w:rsidR="0071176D" w:rsidRPr="0071176D">
              <w:rPr>
                <w:rFonts w:ascii="標楷體" w:hAnsi="標楷體" w:hint="eastAsia"/>
                <w:kern w:val="0"/>
                <w:szCs w:val="24"/>
              </w:rPr>
              <w:t>往前追溯其違反本法義務行為所產生之所得利</w:t>
            </w:r>
            <w:r w:rsidR="0071176D" w:rsidRPr="00732380">
              <w:rPr>
                <w:rFonts w:ascii="標楷體" w:hAnsi="標楷體" w:hint="eastAsia"/>
                <w:kern w:val="0"/>
                <w:szCs w:val="24"/>
              </w:rPr>
              <w:t>益，性質上並非制裁，</w:t>
            </w:r>
            <w:proofErr w:type="gramStart"/>
            <w:r w:rsidR="00FD357E">
              <w:rPr>
                <w:rFonts w:ascii="標楷體" w:hAnsi="標楷體" w:hint="eastAsia"/>
                <w:kern w:val="0"/>
                <w:szCs w:val="24"/>
              </w:rPr>
              <w:t>不具裁罰</w:t>
            </w:r>
            <w:proofErr w:type="gramEnd"/>
            <w:r w:rsidR="00FD357E">
              <w:rPr>
                <w:rFonts w:ascii="標楷體" w:hAnsi="標楷體" w:hint="eastAsia"/>
                <w:kern w:val="0"/>
                <w:szCs w:val="24"/>
              </w:rPr>
              <w:t>性，</w:t>
            </w:r>
            <w:r w:rsidR="0071176D" w:rsidRPr="00732380">
              <w:rPr>
                <w:rFonts w:ascii="標楷體" w:hAnsi="標楷體" w:hint="eastAsia"/>
                <w:kern w:val="0"/>
                <w:szCs w:val="24"/>
              </w:rPr>
              <w:t>應以行政處分為之，不適用行政罰法第二十七條之裁處權之時效，而應適用行政程序法第一百三十一條第一項公法上之五年消滅時效規定。至</w:t>
            </w:r>
            <w:r w:rsidR="001C7A08" w:rsidRPr="00732380">
              <w:rPr>
                <w:rFonts w:ascii="標楷體" w:hAnsi="標楷體" w:hint="eastAsia"/>
                <w:kern w:val="0"/>
                <w:szCs w:val="24"/>
              </w:rPr>
              <w:t>於</w:t>
            </w:r>
            <w:r w:rsidR="0071176D" w:rsidRPr="00732380">
              <w:rPr>
                <w:rFonts w:ascii="標楷體" w:hAnsi="標楷體" w:hint="eastAsia"/>
                <w:kern w:val="0"/>
                <w:szCs w:val="24"/>
              </w:rPr>
              <w:t>時效之起算，類推參照民法第一百二十八條規定消滅時效，自請求權可行使時起算。</w:t>
            </w:r>
          </w:p>
          <w:p w:rsidR="00D910F0" w:rsidRPr="00732380" w:rsidRDefault="00D910F0" w:rsidP="001C7A08">
            <w:pPr>
              <w:adjustRightInd w:val="0"/>
              <w:ind w:left="480" w:hangingChars="200" w:hanging="480"/>
              <w:jc w:val="both"/>
              <w:textAlignment w:val="baseline"/>
              <w:rPr>
                <w:rFonts w:ascii="標楷體" w:hAnsi="標楷體"/>
                <w:kern w:val="0"/>
                <w:szCs w:val="24"/>
              </w:rPr>
            </w:pPr>
          </w:p>
          <w:p w:rsidR="0071176D" w:rsidRPr="00D910F0" w:rsidRDefault="0071176D" w:rsidP="002E643A">
            <w:pPr>
              <w:adjustRightInd w:val="0"/>
              <w:jc w:val="both"/>
              <w:textAlignment w:val="baseline"/>
              <w:rPr>
                <w:rFonts w:ascii="標楷體" w:hAnsi="標楷體"/>
                <w:kern w:val="0"/>
                <w:szCs w:val="24"/>
              </w:rPr>
            </w:pPr>
          </w:p>
        </w:tc>
      </w:tr>
      <w:tr w:rsidR="0071176D" w:rsidRPr="0071176D" w:rsidTr="00EC5F86">
        <w:trPr>
          <w:trHeight w:val="274"/>
        </w:trPr>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lastRenderedPageBreak/>
              <w:t>第</w:t>
            </w:r>
            <w:r w:rsidRPr="0071176D">
              <w:rPr>
                <w:rFonts w:ascii="標楷體" w:hAnsi="標楷體" w:hint="eastAsia"/>
                <w:kern w:val="0"/>
                <w:szCs w:val="24"/>
              </w:rPr>
              <w:t>十</w:t>
            </w:r>
            <w:r w:rsidR="00332B06">
              <w:rPr>
                <w:rFonts w:ascii="標楷體" w:hAnsi="標楷體" w:hint="eastAsia"/>
                <w:kern w:val="0"/>
                <w:szCs w:val="24"/>
              </w:rPr>
              <w:t>一</w:t>
            </w:r>
            <w:r w:rsidRPr="0071176D">
              <w:rPr>
                <w:rFonts w:ascii="標楷體" w:hAnsi="標楷體"/>
                <w:kern w:val="0"/>
                <w:szCs w:val="24"/>
              </w:rPr>
              <w:t xml:space="preserve">條　</w:t>
            </w:r>
            <w:r w:rsidRPr="0071176D">
              <w:rPr>
                <w:rFonts w:ascii="標楷體" w:hAnsi="標楷體" w:hint="eastAsia"/>
                <w:kern w:val="0"/>
                <w:szCs w:val="24"/>
              </w:rPr>
              <w:t>主管機關依第四條至</w:t>
            </w:r>
            <w:r w:rsidR="005C4B9C">
              <w:rPr>
                <w:rFonts w:ascii="標楷體" w:hAnsi="標楷體" w:hint="eastAsia"/>
                <w:kern w:val="0"/>
                <w:szCs w:val="24"/>
              </w:rPr>
              <w:t>前</w:t>
            </w:r>
            <w:r w:rsidRPr="0071176D">
              <w:rPr>
                <w:rFonts w:ascii="標楷體" w:hAnsi="標楷體" w:hint="eastAsia"/>
                <w:kern w:val="0"/>
                <w:szCs w:val="24"/>
              </w:rPr>
              <w:t>條核算、推估之所得利益，應分別計算積極利益及消極利益</w:t>
            </w:r>
            <w:r w:rsidR="005C4B9C">
              <w:rPr>
                <w:rFonts w:ascii="標楷體" w:hAnsi="標楷體" w:hint="eastAsia"/>
                <w:kern w:val="0"/>
                <w:szCs w:val="24"/>
              </w:rPr>
              <w:t>後予以加總</w:t>
            </w:r>
            <w:r w:rsidRPr="0071176D">
              <w:rPr>
                <w:rFonts w:ascii="標楷體" w:hAnsi="標楷體" w:hint="eastAsia"/>
                <w:kern w:val="0"/>
                <w:szCs w:val="24"/>
              </w:rPr>
              <w:t>，有重複計算之費用成本等項目時，</w:t>
            </w:r>
            <w:r w:rsidR="00143775" w:rsidRPr="005B5BAD">
              <w:rPr>
                <w:rFonts w:ascii="標楷體" w:hAnsi="標楷體" w:hint="eastAsia"/>
                <w:kern w:val="0"/>
                <w:szCs w:val="24"/>
              </w:rPr>
              <w:t>僅就</w:t>
            </w:r>
            <w:r w:rsidRPr="0071176D">
              <w:rPr>
                <w:rFonts w:ascii="標楷體" w:hAnsi="標楷體" w:hint="eastAsia"/>
                <w:kern w:val="0"/>
                <w:szCs w:val="24"/>
              </w:rPr>
              <w:t>其所得利益較大者，予以計算。</w:t>
            </w:r>
            <w:r w:rsidRPr="0071176D">
              <w:rPr>
                <w:rFonts w:ascii="標楷體" w:hAnsi="標楷體"/>
                <w:kern w:val="0"/>
                <w:szCs w:val="24"/>
              </w:rPr>
              <w:t xml:space="preserve"> </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前項結果應依所得利益期間按日加計利息後進行追繳，所得利益總和計算公式如下：</w:t>
            </w:r>
          </w:p>
          <w:p w:rsidR="0071176D" w:rsidRPr="0071176D" w:rsidRDefault="0071176D" w:rsidP="0071176D">
            <w:pPr>
              <w:adjustRightInd w:val="0"/>
              <w:ind w:leftChars="100" w:left="240"/>
              <w:jc w:val="both"/>
              <w:textAlignment w:val="baseline"/>
              <w:rPr>
                <w:rFonts w:ascii="標楷體" w:hAnsi="標楷體"/>
                <w:kern w:val="0"/>
                <w:szCs w:val="24"/>
              </w:rPr>
            </w:pPr>
            <m:oMath>
              <m:r>
                <m:rPr>
                  <m:sty m:val="p"/>
                </m:rPr>
                <w:rPr>
                  <w:rFonts w:ascii="Cambria Math" w:hAnsi="Cambria Math" w:hint="eastAsia"/>
                  <w:kern w:val="0"/>
                  <w:szCs w:val="24"/>
                </w:rPr>
                <m:t>所得利益總和</m:t>
              </m:r>
              <m:r>
                <m:rPr>
                  <m:sty m:val="p"/>
                </m:rPr>
                <w:rPr>
                  <w:rFonts w:ascii="Cambria Math" w:hAnsi="Cambria Math"/>
                  <w:kern w:val="0"/>
                  <w:szCs w:val="24"/>
                </w:rPr>
                <m:t>=</m:t>
              </m:r>
              <m:nary>
                <m:naryPr>
                  <m:chr m:val="∑"/>
                  <m:limLoc m:val="undOvr"/>
                  <m:subHide m:val="1"/>
                  <m:supHide m:val="1"/>
                  <m:ctrlPr>
                    <w:rPr>
                      <w:rFonts w:ascii="Cambria Math" w:hAnsi="Cambria Math"/>
                      <w:kern w:val="0"/>
                      <w:szCs w:val="24"/>
                    </w:rPr>
                  </m:ctrlPr>
                </m:naryPr>
                <m:sub/>
                <m:sup/>
                <m:e>
                  <m:d>
                    <m:dPr>
                      <m:begChr m:val="["/>
                      <m:endChr m:val="]"/>
                      <m:ctrlPr>
                        <w:rPr>
                          <w:rFonts w:ascii="Cambria Math" w:hAnsi="Cambria Math"/>
                          <w:kern w:val="0"/>
                          <w:szCs w:val="24"/>
                        </w:rPr>
                      </m:ctrlPr>
                    </m:dPr>
                    <m:e>
                      <m:sSub>
                        <m:sSubPr>
                          <m:ctrlPr>
                            <w:rPr>
                              <w:rFonts w:ascii="Cambria Math" w:hAnsi="Cambria Math"/>
                              <w:kern w:val="0"/>
                              <w:szCs w:val="24"/>
                            </w:rPr>
                          </m:ctrlPr>
                        </m:sSubPr>
                        <m:e>
                          <m:r>
                            <m:rPr>
                              <m:sty m:val="p"/>
                            </m:rPr>
                            <w:rPr>
                              <w:rFonts w:ascii="Cambria Math" w:hAnsi="Cambria Math" w:hint="eastAsia"/>
                              <w:kern w:val="0"/>
                              <w:szCs w:val="24"/>
                            </w:rPr>
                            <m:t>年度所得利益</m:t>
                          </m:r>
                        </m:e>
                        <m:sub>
                          <m:r>
                            <m:rPr>
                              <m:sty m:val="p"/>
                            </m:rPr>
                            <w:rPr>
                              <w:rFonts w:ascii="Cambria Math" w:hAnsi="Cambria Math" w:hint="eastAsia"/>
                              <w:kern w:val="0"/>
                              <w:szCs w:val="24"/>
                            </w:rPr>
                            <m:t>i</m:t>
                          </m:r>
                        </m:sub>
                      </m:sSub>
                      <m:r>
                        <m:rPr>
                          <m:sty m:val="p"/>
                        </m:rPr>
                        <w:rPr>
                          <w:rFonts w:ascii="Cambria Math" w:hAnsi="Cambria Math" w:hint="eastAsia"/>
                          <w:kern w:val="0"/>
                          <w:szCs w:val="24"/>
                        </w:rPr>
                        <m:t>+</m:t>
                      </m:r>
                      <m:sSub>
                        <m:sSubPr>
                          <m:ctrlPr>
                            <w:rPr>
                              <w:rFonts w:ascii="Cambria Math" w:hAnsi="Cambria Math"/>
                              <w:kern w:val="0"/>
                              <w:szCs w:val="24"/>
                            </w:rPr>
                          </m:ctrlPr>
                        </m:sSubPr>
                        <m:e>
                          <m:r>
                            <m:rPr>
                              <m:sty m:val="p"/>
                            </m:rPr>
                            <w:rPr>
                              <w:rFonts w:ascii="Cambria Math" w:hAnsi="Cambria Math" w:hint="eastAsia"/>
                              <w:kern w:val="0"/>
                              <w:szCs w:val="24"/>
                            </w:rPr>
                            <m:t>利息</m:t>
                          </m:r>
                        </m:e>
                        <m:sub>
                          <m:r>
                            <m:rPr>
                              <m:sty m:val="p"/>
                            </m:rPr>
                            <w:rPr>
                              <w:rFonts w:ascii="Cambria Math" w:hAnsi="Cambria Math" w:hint="eastAsia"/>
                              <w:kern w:val="0"/>
                              <w:szCs w:val="24"/>
                            </w:rPr>
                            <m:t>i</m:t>
                          </m:r>
                        </m:sub>
                      </m:sSub>
                    </m:e>
                  </m:d>
                </m:e>
              </m:nary>
            </m:oMath>
            <w:r w:rsidRPr="0071176D">
              <w:rPr>
                <w:rFonts w:ascii="標楷體" w:hAnsi="標楷體"/>
                <w:kern w:val="0"/>
                <w:szCs w:val="24"/>
              </w:rPr>
              <w:t xml:space="preserve"> </w:t>
            </w:r>
          </w:p>
          <w:p w:rsidR="0071176D" w:rsidRPr="0071176D" w:rsidRDefault="0071176D" w:rsidP="0071176D">
            <w:pPr>
              <w:adjustRightInd w:val="0"/>
              <w:ind w:leftChars="100" w:left="720" w:hangingChars="200" w:hanging="480"/>
              <w:jc w:val="both"/>
              <w:textAlignment w:val="baseline"/>
              <w:rPr>
                <w:rFonts w:ascii="標楷體" w:hAnsi="標楷體"/>
                <w:kern w:val="0"/>
                <w:szCs w:val="24"/>
              </w:rPr>
            </w:pPr>
            <w:r w:rsidRPr="0071176D">
              <w:rPr>
                <w:rFonts w:ascii="標楷體" w:hAnsi="標楷體" w:hint="eastAsia"/>
                <w:kern w:val="0"/>
                <w:szCs w:val="24"/>
              </w:rPr>
              <w:t>一、年度所得利益</w:t>
            </w:r>
            <w:proofErr w:type="spellStart"/>
            <w:r w:rsidRPr="0071176D">
              <w:rPr>
                <w:rFonts w:ascii="標楷體" w:hAnsi="標楷體"/>
                <w:kern w:val="0"/>
                <w:szCs w:val="24"/>
                <w:vertAlign w:val="subscript"/>
              </w:rPr>
              <w:t>i</w:t>
            </w:r>
            <w:proofErr w:type="spellEnd"/>
            <w:r w:rsidRPr="0071176D">
              <w:rPr>
                <w:rFonts w:ascii="標楷體" w:hAnsi="標楷體"/>
                <w:kern w:val="0"/>
                <w:szCs w:val="24"/>
              </w:rPr>
              <w:t>=積極利益</w:t>
            </w:r>
            <w:proofErr w:type="spellStart"/>
            <w:r w:rsidRPr="0071176D">
              <w:rPr>
                <w:rFonts w:ascii="標楷體" w:hAnsi="標楷體"/>
                <w:kern w:val="0"/>
                <w:szCs w:val="24"/>
                <w:vertAlign w:val="subscript"/>
              </w:rPr>
              <w:t>i</w:t>
            </w:r>
            <w:proofErr w:type="spellEnd"/>
            <w:r w:rsidRPr="0071176D">
              <w:rPr>
                <w:rFonts w:ascii="標楷體" w:hAnsi="標楷體"/>
                <w:kern w:val="0"/>
                <w:szCs w:val="24"/>
              </w:rPr>
              <w:t>+消極利益</w:t>
            </w:r>
            <w:proofErr w:type="spellStart"/>
            <w:r w:rsidRPr="0071176D">
              <w:rPr>
                <w:rFonts w:ascii="標楷體" w:hAnsi="標楷體"/>
                <w:kern w:val="0"/>
                <w:szCs w:val="24"/>
                <w:vertAlign w:val="subscript"/>
              </w:rPr>
              <w:t>i</w:t>
            </w:r>
            <w:proofErr w:type="spellEnd"/>
          </w:p>
          <w:p w:rsidR="0071176D" w:rsidRPr="0071176D" w:rsidRDefault="005D006C" w:rsidP="0071176D">
            <w:pPr>
              <w:adjustRightInd w:val="0"/>
              <w:ind w:leftChars="100" w:left="720" w:hangingChars="200" w:hanging="480"/>
              <w:jc w:val="both"/>
              <w:textAlignment w:val="baseline"/>
              <w:rPr>
                <w:rFonts w:ascii="標楷體" w:hAnsi="標楷體"/>
                <w:kern w:val="0"/>
                <w:szCs w:val="24"/>
              </w:rPr>
            </w:pPr>
            <m:oMath>
              <m:sSub>
                <m:sSubPr>
                  <m:ctrlPr>
                    <w:rPr>
                      <w:rFonts w:ascii="Cambria Math" w:hAnsi="Cambria Math"/>
                      <w:kern w:val="0"/>
                      <w:szCs w:val="24"/>
                    </w:rPr>
                  </m:ctrlPr>
                </m:sSubPr>
                <m:e>
                  <m:r>
                    <m:rPr>
                      <m:sty m:val="p"/>
                    </m:rPr>
                    <w:rPr>
                      <w:rFonts w:ascii="Cambria Math" w:hAnsi="Cambria Math" w:hint="eastAsia"/>
                      <w:kern w:val="0"/>
                      <w:szCs w:val="24"/>
                    </w:rPr>
                    <m:t>二、</m:t>
                  </m:r>
                  <m:sSub>
                    <m:sSubPr>
                      <m:ctrlPr>
                        <w:rPr>
                          <w:rFonts w:ascii="Cambria Math" w:hAnsi="Cambria Math"/>
                          <w:kern w:val="0"/>
                          <w:szCs w:val="24"/>
                        </w:rPr>
                      </m:ctrlPr>
                    </m:sSubPr>
                    <m:e>
                      <m:r>
                        <m:rPr>
                          <m:sty m:val="p"/>
                        </m:rPr>
                        <w:rPr>
                          <w:rFonts w:ascii="Cambria Math" w:hAnsi="Cambria Math" w:hint="eastAsia"/>
                          <w:kern w:val="0"/>
                          <w:szCs w:val="24"/>
                        </w:rPr>
                        <m:t>利息</m:t>
                      </m:r>
                    </m:e>
                    <m:sub>
                      <m:r>
                        <m:rPr>
                          <m:sty m:val="p"/>
                        </m:rPr>
                        <w:rPr>
                          <w:rFonts w:ascii="Cambria Math" w:hAnsi="Cambria Math" w:hint="eastAsia"/>
                          <w:kern w:val="0"/>
                          <w:szCs w:val="24"/>
                        </w:rPr>
                        <m:t>i</m:t>
                      </m:r>
                    </m:sub>
                  </m:sSub>
                  <m:r>
                    <m:rPr>
                      <m:sty m:val="p"/>
                    </m:rPr>
                    <w:rPr>
                      <w:rFonts w:ascii="Cambria Math" w:hAnsi="Cambria Math" w:hint="eastAsia"/>
                      <w:kern w:val="0"/>
                      <w:szCs w:val="24"/>
                    </w:rPr>
                    <m:t>=</m:t>
                  </m:r>
                  <m:r>
                    <m:rPr>
                      <m:sty m:val="p"/>
                    </m:rPr>
                    <w:rPr>
                      <w:rFonts w:ascii="Cambria Math" w:hAnsi="Cambria Math" w:hint="eastAsia"/>
                      <w:kern w:val="0"/>
                      <w:szCs w:val="24"/>
                    </w:rPr>
                    <m:t>年度所得利益</m:t>
                  </m:r>
                </m:e>
                <m:sub>
                  <m:r>
                    <m:rPr>
                      <m:sty m:val="p"/>
                    </m:rPr>
                    <w:rPr>
                      <w:rFonts w:ascii="Cambria Math" w:hAnsi="Cambria Math" w:hint="eastAsia"/>
                      <w:kern w:val="0"/>
                      <w:szCs w:val="24"/>
                    </w:rPr>
                    <m:t>i</m:t>
                  </m:r>
                </m:sub>
              </m:sSub>
              <m:r>
                <m:rPr>
                  <m:sty m:val="p"/>
                </m:rPr>
                <w:rPr>
                  <w:rFonts w:ascii="Cambria Math" w:hAnsi="Cambria Math" w:hint="eastAsia"/>
                  <w:kern w:val="0"/>
                  <w:szCs w:val="24"/>
                </w:rPr>
                <m:t>×</m:t>
              </m:r>
              <m:sSub>
                <m:sSubPr>
                  <m:ctrlPr>
                    <w:rPr>
                      <w:rFonts w:ascii="Cambria Math" w:hAnsi="Cambria Math"/>
                      <w:kern w:val="0"/>
                      <w:szCs w:val="24"/>
                    </w:rPr>
                  </m:ctrlPr>
                </m:sSubPr>
                <m:e>
                  <m:r>
                    <m:rPr>
                      <m:sty m:val="p"/>
                    </m:rPr>
                    <w:rPr>
                      <w:rFonts w:ascii="Cambria Math" w:hAnsi="Cambria Math" w:hint="eastAsia"/>
                      <w:kern w:val="0"/>
                      <w:szCs w:val="24"/>
                    </w:rPr>
                    <m:t>利率</m:t>
                  </m:r>
                </m:e>
                <m:sub>
                  <m:r>
                    <m:rPr>
                      <m:sty m:val="p"/>
                    </m:rPr>
                    <w:rPr>
                      <w:rFonts w:ascii="Cambria Math" w:hAnsi="Cambria Math" w:hint="eastAsia"/>
                      <w:kern w:val="0"/>
                      <w:szCs w:val="24"/>
                    </w:rPr>
                    <m:t>i</m:t>
                  </m:r>
                </m:sub>
              </m:sSub>
              <m:r>
                <m:rPr>
                  <m:sty m:val="p"/>
                </m:rPr>
                <w:rPr>
                  <w:rFonts w:ascii="Cambria Math" w:hAnsi="Cambria Math" w:hint="eastAsia"/>
                  <w:kern w:val="0"/>
                  <w:szCs w:val="24"/>
                </w:rPr>
                <m:t>×所得利益計算期間之年數</m:t>
              </m:r>
            </m:oMath>
            <w:r w:rsidR="0071176D" w:rsidRPr="0071176D">
              <w:rPr>
                <w:rFonts w:ascii="標楷體" w:hAnsi="標楷體"/>
                <w:kern w:val="0"/>
                <w:szCs w:val="24"/>
              </w:rPr>
              <w:t xml:space="preserve"> </w:t>
            </w:r>
          </w:p>
          <w:p w:rsidR="0071176D" w:rsidRPr="0071176D" w:rsidRDefault="0071176D" w:rsidP="0071176D">
            <w:pPr>
              <w:adjustRightInd w:val="0"/>
              <w:ind w:leftChars="200" w:left="960" w:hangingChars="200" w:hanging="480"/>
              <w:jc w:val="both"/>
              <w:textAlignment w:val="baseline"/>
              <w:rPr>
                <w:rFonts w:ascii="標楷體" w:hAnsi="標楷體"/>
                <w:kern w:val="0"/>
                <w:szCs w:val="24"/>
              </w:rPr>
            </w:pPr>
            <w:r w:rsidRPr="0071176D">
              <w:rPr>
                <w:rFonts w:ascii="標楷體" w:hAnsi="標楷體" w:hint="eastAsia"/>
                <w:kern w:val="0"/>
                <w:szCs w:val="24"/>
              </w:rPr>
              <w:lastRenderedPageBreak/>
              <w:t>（一）</w:t>
            </w:r>
            <w:proofErr w:type="spellStart"/>
            <w:r w:rsidRPr="0071176D">
              <w:rPr>
                <w:rFonts w:ascii="標楷體" w:hAnsi="標楷體"/>
                <w:kern w:val="0"/>
                <w:szCs w:val="24"/>
              </w:rPr>
              <w:t>i</w:t>
            </w:r>
            <w:proofErr w:type="spellEnd"/>
            <w:r w:rsidRPr="0071176D">
              <w:rPr>
                <w:rFonts w:ascii="標楷體" w:hAnsi="標楷體" w:hint="eastAsia"/>
                <w:kern w:val="0"/>
                <w:szCs w:val="24"/>
              </w:rPr>
              <w:t>：獲有利益年度。</w:t>
            </w:r>
          </w:p>
          <w:p w:rsidR="0071176D" w:rsidRPr="0071176D" w:rsidRDefault="0071176D" w:rsidP="0071176D">
            <w:pPr>
              <w:adjustRightInd w:val="0"/>
              <w:ind w:leftChars="200" w:left="1200" w:hangingChars="300" w:hanging="720"/>
              <w:jc w:val="both"/>
              <w:textAlignment w:val="baseline"/>
              <w:rPr>
                <w:rFonts w:ascii="標楷體" w:hAnsi="標楷體"/>
                <w:kern w:val="0"/>
                <w:szCs w:val="24"/>
              </w:rPr>
            </w:pPr>
            <w:r w:rsidRPr="0071176D">
              <w:rPr>
                <w:rFonts w:ascii="標楷體" w:hAnsi="標楷體" w:hint="eastAsia"/>
                <w:kern w:val="0"/>
                <w:szCs w:val="24"/>
              </w:rPr>
              <w:t>（二）利率：依所得利益產生各年度一月一日郵政儲金一年期定期儲金固定利率為據。</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前項利息之計算</w:t>
            </w:r>
            <w:proofErr w:type="gramStart"/>
            <w:r w:rsidRPr="0071176D">
              <w:rPr>
                <w:rFonts w:ascii="標楷體" w:hAnsi="標楷體" w:hint="eastAsia"/>
                <w:kern w:val="0"/>
                <w:szCs w:val="24"/>
              </w:rPr>
              <w:t>期間，</w:t>
            </w:r>
            <w:proofErr w:type="gramEnd"/>
            <w:r w:rsidRPr="0071176D">
              <w:rPr>
                <w:rFonts w:ascii="標楷體" w:hAnsi="標楷體" w:hint="eastAsia"/>
                <w:kern w:val="0"/>
                <w:szCs w:val="24"/>
              </w:rPr>
              <w:t>自認定其違反本法規定之日起，至所得利益計算期間之停止日止，所得利益計算期間之年數計算，</w:t>
            </w:r>
            <w:proofErr w:type="gramStart"/>
            <w:r w:rsidR="00C6370A">
              <w:rPr>
                <w:rFonts w:ascii="標楷體" w:hAnsi="標楷體" w:hint="eastAsia"/>
                <w:kern w:val="0"/>
                <w:szCs w:val="24"/>
              </w:rPr>
              <w:t>取至</w:t>
            </w:r>
            <w:r w:rsidRPr="0071176D">
              <w:rPr>
                <w:rFonts w:ascii="標楷體" w:hAnsi="標楷體" w:hint="eastAsia"/>
                <w:kern w:val="0"/>
                <w:szCs w:val="24"/>
              </w:rPr>
              <w:t>小數點</w:t>
            </w:r>
            <w:proofErr w:type="gramEnd"/>
            <w:r w:rsidRPr="0071176D">
              <w:rPr>
                <w:rFonts w:ascii="標楷體" w:hAnsi="標楷體" w:hint="eastAsia"/>
                <w:kern w:val="0"/>
                <w:szCs w:val="24"/>
              </w:rPr>
              <w:t>第一位</w:t>
            </w:r>
            <w:r w:rsidR="00FD171E">
              <w:rPr>
                <w:rFonts w:ascii="標楷體" w:hAnsi="標楷體" w:hint="eastAsia"/>
                <w:kern w:val="0"/>
                <w:szCs w:val="24"/>
              </w:rPr>
              <w:t>後無條件捨去</w:t>
            </w:r>
            <w:r w:rsidRPr="0071176D">
              <w:rPr>
                <w:rFonts w:ascii="標楷體" w:hAnsi="標楷體" w:hint="eastAsia"/>
                <w:kern w:val="0"/>
                <w:szCs w:val="24"/>
              </w:rPr>
              <w:t>。</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所得利益總和之</w:t>
            </w:r>
            <w:proofErr w:type="gramStart"/>
            <w:r w:rsidRPr="0071176D">
              <w:rPr>
                <w:rFonts w:ascii="標楷體" w:hAnsi="標楷體" w:hint="eastAsia"/>
                <w:kern w:val="0"/>
                <w:szCs w:val="24"/>
              </w:rPr>
              <w:t>計算取至新</w:t>
            </w:r>
            <w:proofErr w:type="gramEnd"/>
            <w:r w:rsidRPr="0071176D">
              <w:rPr>
                <w:rFonts w:ascii="標楷體" w:hAnsi="標楷體" w:hint="eastAsia"/>
                <w:kern w:val="0"/>
                <w:szCs w:val="24"/>
              </w:rPr>
              <w:t>臺幣元，小數點後無條件捨去。</w:t>
            </w:r>
          </w:p>
        </w:tc>
        <w:tc>
          <w:tcPr>
            <w:tcW w:w="2500" w:type="pct"/>
          </w:tcPr>
          <w:p w:rsidR="0071176D" w:rsidRPr="0071176D" w:rsidRDefault="0071176D" w:rsidP="0071176D">
            <w:pPr>
              <w:numPr>
                <w:ilvl w:val="0"/>
                <w:numId w:val="11"/>
              </w:numPr>
              <w:adjustRightInd w:val="0"/>
              <w:spacing w:line="360" w:lineRule="atLeast"/>
              <w:ind w:left="480" w:hangingChars="200" w:hanging="480"/>
              <w:jc w:val="both"/>
              <w:textAlignment w:val="baseline"/>
              <w:rPr>
                <w:rFonts w:ascii="標楷體" w:hAnsi="標楷體"/>
                <w:kern w:val="0"/>
                <w:szCs w:val="24"/>
              </w:rPr>
            </w:pPr>
            <w:r w:rsidRPr="0071176D">
              <w:rPr>
                <w:rFonts w:ascii="標楷體" w:hAnsi="標楷體" w:hint="eastAsia"/>
                <w:kern w:val="0"/>
                <w:szCs w:val="24"/>
              </w:rPr>
              <w:lastRenderedPageBreak/>
              <w:t>主管機關追繳所得利益之核算、推估方法。</w:t>
            </w:r>
          </w:p>
          <w:p w:rsidR="0071176D" w:rsidRPr="0071176D" w:rsidRDefault="0071176D" w:rsidP="0071176D">
            <w:pPr>
              <w:numPr>
                <w:ilvl w:val="0"/>
                <w:numId w:val="11"/>
              </w:numPr>
              <w:adjustRightInd w:val="0"/>
              <w:spacing w:line="360" w:lineRule="atLeast"/>
              <w:ind w:left="480" w:hangingChars="200" w:hanging="480"/>
              <w:jc w:val="both"/>
              <w:textAlignment w:val="baseline"/>
              <w:rPr>
                <w:rFonts w:ascii="標楷體" w:hAnsi="標楷體"/>
                <w:kern w:val="0"/>
                <w:szCs w:val="24"/>
              </w:rPr>
            </w:pPr>
            <w:r w:rsidRPr="0071176D">
              <w:rPr>
                <w:rFonts w:ascii="標楷體" w:hAnsi="標楷體" w:hint="eastAsia"/>
                <w:kern w:val="0"/>
                <w:szCs w:val="24"/>
              </w:rPr>
              <w:t>考量國家法律秩序應有一致性，現行法院實務或其他法律領域涉及利率時，多以單利計算孳息，</w:t>
            </w:r>
            <w:proofErr w:type="gramStart"/>
            <w:r w:rsidRPr="0071176D">
              <w:rPr>
                <w:rFonts w:ascii="標楷體" w:hAnsi="標楷體" w:hint="eastAsia"/>
                <w:kern w:val="0"/>
                <w:szCs w:val="24"/>
              </w:rPr>
              <w:t>爰</w:t>
            </w:r>
            <w:proofErr w:type="gramEnd"/>
            <w:r w:rsidRPr="0071176D">
              <w:rPr>
                <w:rFonts w:ascii="標楷體" w:hAnsi="標楷體" w:hint="eastAsia"/>
                <w:kern w:val="0"/>
                <w:szCs w:val="24"/>
              </w:rPr>
              <w:t>參考稅捐</w:t>
            </w:r>
            <w:proofErr w:type="gramStart"/>
            <w:r w:rsidRPr="0071176D">
              <w:rPr>
                <w:rFonts w:ascii="標楷體" w:hAnsi="標楷體" w:hint="eastAsia"/>
                <w:kern w:val="0"/>
                <w:szCs w:val="24"/>
              </w:rPr>
              <w:t>稽</w:t>
            </w:r>
            <w:proofErr w:type="gramEnd"/>
            <w:r w:rsidRPr="0071176D">
              <w:rPr>
                <w:rFonts w:ascii="標楷體" w:hAnsi="標楷體" w:hint="eastAsia"/>
                <w:kern w:val="0"/>
                <w:szCs w:val="24"/>
              </w:rPr>
              <w:t>徵法第三十八</w:t>
            </w:r>
            <w:r w:rsidRPr="0071176D">
              <w:rPr>
                <w:rFonts w:ascii="標楷體" w:hAnsi="標楷體"/>
                <w:kern w:val="0"/>
                <w:szCs w:val="24"/>
              </w:rPr>
              <w:t>條以各年度一月一日郵政儲金一年期定期儲金固定利率，按日加計利息規定</w:t>
            </w:r>
            <w:r w:rsidRPr="0071176D">
              <w:rPr>
                <w:rFonts w:ascii="標楷體" w:hAnsi="標楷體" w:hint="eastAsia"/>
                <w:kern w:val="0"/>
                <w:szCs w:val="24"/>
              </w:rPr>
              <w:t>辦理。</w:t>
            </w:r>
          </w:p>
          <w:p w:rsidR="0071176D" w:rsidRPr="0071176D" w:rsidRDefault="0071176D" w:rsidP="0071176D">
            <w:pPr>
              <w:numPr>
                <w:ilvl w:val="0"/>
                <w:numId w:val="11"/>
              </w:numPr>
              <w:adjustRightInd w:val="0"/>
              <w:spacing w:line="360" w:lineRule="atLeast"/>
              <w:ind w:left="480" w:hangingChars="200" w:hanging="480"/>
              <w:jc w:val="both"/>
              <w:textAlignment w:val="baseline"/>
              <w:rPr>
                <w:rFonts w:ascii="標楷體" w:hAnsi="標楷體"/>
                <w:kern w:val="0"/>
                <w:szCs w:val="24"/>
              </w:rPr>
            </w:pPr>
            <w:r w:rsidRPr="0071176D">
              <w:rPr>
                <w:rFonts w:ascii="標楷體" w:hAnsi="標楷體" w:hint="eastAsia"/>
                <w:kern w:val="0"/>
                <w:szCs w:val="24"/>
              </w:rPr>
              <w:t>所得利益案例說明如下：</w:t>
            </w:r>
          </w:p>
          <w:p w:rsidR="0071176D" w:rsidRPr="0071176D" w:rsidRDefault="0071176D" w:rsidP="0071176D">
            <w:pPr>
              <w:adjustRightInd w:val="0"/>
              <w:ind w:left="480"/>
              <w:jc w:val="both"/>
              <w:textAlignment w:val="baseline"/>
              <w:rPr>
                <w:rFonts w:ascii="標楷體" w:hAnsi="標楷體"/>
                <w:kern w:val="0"/>
                <w:szCs w:val="24"/>
              </w:rPr>
            </w:pPr>
            <w:r w:rsidRPr="0071176D">
              <w:rPr>
                <w:rFonts w:ascii="標楷體" w:hAnsi="標楷體" w:hint="eastAsia"/>
                <w:kern w:val="0"/>
                <w:szCs w:val="24"/>
              </w:rPr>
              <w:t>甲公司於</w:t>
            </w:r>
            <w:r w:rsidR="00E30D8B" w:rsidRPr="00E30D8B">
              <w:rPr>
                <w:rFonts w:ascii="標楷體" w:hAnsi="標楷體" w:hint="eastAsia"/>
                <w:kern w:val="0"/>
                <w:szCs w:val="24"/>
              </w:rPr>
              <w:t>一百零四</w:t>
            </w:r>
            <w:r w:rsidRPr="00E30D8B">
              <w:rPr>
                <w:rFonts w:ascii="標楷體" w:hAnsi="標楷體"/>
                <w:kern w:val="0"/>
                <w:szCs w:val="24"/>
              </w:rPr>
              <w:t>年</w:t>
            </w:r>
            <w:r w:rsidR="00E30D8B" w:rsidRPr="00E30D8B">
              <w:rPr>
                <w:rFonts w:ascii="標楷體" w:hAnsi="標楷體" w:hint="eastAsia"/>
                <w:kern w:val="0"/>
                <w:szCs w:val="24"/>
              </w:rPr>
              <w:t>四</w:t>
            </w:r>
            <w:r w:rsidR="00777063" w:rsidRPr="00E30D8B">
              <w:rPr>
                <w:rFonts w:ascii="標楷體" w:hAnsi="標楷體" w:hint="eastAsia"/>
                <w:kern w:val="0"/>
                <w:szCs w:val="24"/>
              </w:rPr>
              <w:t>月</w:t>
            </w:r>
            <w:r w:rsidRPr="00E30D8B">
              <w:rPr>
                <w:rFonts w:ascii="標楷體" w:hAnsi="標楷體"/>
                <w:kern w:val="0"/>
                <w:szCs w:val="24"/>
              </w:rPr>
              <w:t>至</w:t>
            </w:r>
            <w:r w:rsidR="00E30D8B" w:rsidRPr="002E643A">
              <w:rPr>
                <w:rFonts w:ascii="標楷體" w:hAnsi="標楷體" w:hint="eastAsia"/>
                <w:kern w:val="0"/>
                <w:szCs w:val="24"/>
              </w:rPr>
              <w:t>一百零六</w:t>
            </w:r>
            <w:r w:rsidRPr="00E30D8B">
              <w:rPr>
                <w:rFonts w:ascii="標楷體" w:hAnsi="標楷體"/>
                <w:kern w:val="0"/>
                <w:szCs w:val="24"/>
              </w:rPr>
              <w:t>年</w:t>
            </w:r>
            <w:r w:rsidR="00E30D8B" w:rsidRPr="002E643A">
              <w:rPr>
                <w:rFonts w:ascii="標楷體" w:hAnsi="標楷體" w:hint="eastAsia"/>
                <w:kern w:val="0"/>
                <w:szCs w:val="24"/>
              </w:rPr>
              <w:t>三</w:t>
            </w:r>
            <w:r w:rsidRPr="00E30D8B">
              <w:rPr>
                <w:rFonts w:ascii="標楷體" w:hAnsi="標楷體" w:hint="eastAsia"/>
                <w:kern w:val="0"/>
                <w:szCs w:val="24"/>
              </w:rPr>
              <w:t>月因違反本法義務受有利益，其所</w:t>
            </w:r>
            <w:r w:rsidRPr="0071176D">
              <w:rPr>
                <w:rFonts w:ascii="標楷體" w:hAnsi="標楷體" w:hint="eastAsia"/>
                <w:kern w:val="0"/>
                <w:szCs w:val="24"/>
              </w:rPr>
              <w:t>得利益總和計算如下表：</w:t>
            </w:r>
          </w:p>
          <w:tbl>
            <w:tblPr>
              <w:tblStyle w:val="afc"/>
              <w:tblW w:w="3660" w:type="dxa"/>
              <w:tblInd w:w="480" w:type="dxa"/>
              <w:tblLayout w:type="fixed"/>
              <w:tblLook w:val="04A0" w:firstRow="1" w:lastRow="0" w:firstColumn="1" w:lastColumn="0" w:noHBand="0" w:noVBand="1"/>
            </w:tblPr>
            <w:tblGrid>
              <w:gridCol w:w="542"/>
              <w:gridCol w:w="850"/>
              <w:gridCol w:w="567"/>
              <w:gridCol w:w="851"/>
              <w:gridCol w:w="850"/>
            </w:tblGrid>
            <w:tr w:rsidR="0071176D" w:rsidRPr="0071176D" w:rsidTr="00EC5F86">
              <w:tc>
                <w:tcPr>
                  <w:tcW w:w="542" w:type="dxa"/>
                </w:tcPr>
                <w:p w:rsidR="0071176D" w:rsidRPr="0071176D" w:rsidRDefault="0071176D" w:rsidP="0071176D">
                  <w:pPr>
                    <w:spacing w:line="240" w:lineRule="exact"/>
                    <w:jc w:val="both"/>
                    <w:rPr>
                      <w:rFonts w:ascii="標楷體" w:hAnsi="標楷體"/>
                      <w:kern w:val="0"/>
                      <w:sz w:val="20"/>
                      <w:szCs w:val="24"/>
                    </w:rPr>
                  </w:pPr>
                  <w:r w:rsidRPr="0071176D">
                    <w:rPr>
                      <w:rFonts w:ascii="標楷體" w:hAnsi="標楷體" w:hint="eastAsia"/>
                      <w:kern w:val="0"/>
                      <w:sz w:val="20"/>
                      <w:szCs w:val="24"/>
                    </w:rPr>
                    <w:t>年度</w:t>
                  </w:r>
                </w:p>
              </w:tc>
              <w:tc>
                <w:tcPr>
                  <w:tcW w:w="850" w:type="dxa"/>
                </w:tcPr>
                <w:p w:rsidR="0071176D" w:rsidRPr="0071176D" w:rsidRDefault="0071176D" w:rsidP="0071176D">
                  <w:pPr>
                    <w:spacing w:line="240" w:lineRule="exact"/>
                    <w:jc w:val="both"/>
                    <w:rPr>
                      <w:rFonts w:ascii="標楷體" w:hAnsi="標楷體"/>
                      <w:kern w:val="0"/>
                      <w:sz w:val="20"/>
                      <w:szCs w:val="24"/>
                    </w:rPr>
                  </w:pPr>
                  <w:r w:rsidRPr="0071176D">
                    <w:rPr>
                      <w:rFonts w:ascii="標楷體" w:hAnsi="標楷體" w:hint="eastAsia"/>
                      <w:kern w:val="0"/>
                      <w:sz w:val="20"/>
                      <w:szCs w:val="24"/>
                    </w:rPr>
                    <w:t>年度所得利益</w:t>
                  </w:r>
                  <w:r w:rsidRPr="0071176D">
                    <w:rPr>
                      <w:rFonts w:ascii="標楷體" w:hAnsi="標楷體"/>
                      <w:kern w:val="0"/>
                      <w:sz w:val="20"/>
                      <w:szCs w:val="24"/>
                    </w:rPr>
                    <w:t>(</w:t>
                  </w:r>
                  <w:r w:rsidRPr="0071176D">
                    <w:rPr>
                      <w:rFonts w:ascii="標楷體" w:hAnsi="標楷體" w:hint="eastAsia"/>
                      <w:kern w:val="0"/>
                      <w:sz w:val="20"/>
                      <w:szCs w:val="24"/>
                    </w:rPr>
                    <w:t>萬元</w:t>
                  </w:r>
                  <w:r w:rsidRPr="0071176D">
                    <w:rPr>
                      <w:rFonts w:ascii="標楷體" w:hAnsi="標楷體"/>
                      <w:kern w:val="0"/>
                      <w:sz w:val="20"/>
                      <w:szCs w:val="24"/>
                    </w:rPr>
                    <w:t>)</w:t>
                  </w:r>
                </w:p>
              </w:tc>
              <w:tc>
                <w:tcPr>
                  <w:tcW w:w="567" w:type="dxa"/>
                </w:tcPr>
                <w:p w:rsidR="0071176D" w:rsidRPr="0071176D" w:rsidRDefault="0071176D" w:rsidP="0071176D">
                  <w:pPr>
                    <w:spacing w:line="240" w:lineRule="exact"/>
                    <w:jc w:val="both"/>
                    <w:rPr>
                      <w:rFonts w:ascii="標楷體" w:hAnsi="標楷體"/>
                      <w:kern w:val="0"/>
                      <w:sz w:val="20"/>
                      <w:szCs w:val="24"/>
                    </w:rPr>
                  </w:pPr>
                  <w:r w:rsidRPr="0071176D">
                    <w:rPr>
                      <w:rFonts w:ascii="標楷體" w:hAnsi="標楷體" w:hint="eastAsia"/>
                      <w:kern w:val="0"/>
                      <w:sz w:val="20"/>
                      <w:szCs w:val="24"/>
                    </w:rPr>
                    <w:t>利率</w:t>
                  </w:r>
                  <w:r w:rsidRPr="0071176D">
                    <w:rPr>
                      <w:rFonts w:ascii="標楷體" w:hAnsi="標楷體"/>
                      <w:kern w:val="0"/>
                      <w:sz w:val="20"/>
                      <w:szCs w:val="24"/>
                    </w:rPr>
                    <w:t>(%)</w:t>
                  </w:r>
                </w:p>
              </w:tc>
              <w:tc>
                <w:tcPr>
                  <w:tcW w:w="851" w:type="dxa"/>
                </w:tcPr>
                <w:p w:rsidR="0071176D" w:rsidRPr="0071176D" w:rsidRDefault="0071176D" w:rsidP="0071176D">
                  <w:pPr>
                    <w:spacing w:line="240" w:lineRule="exact"/>
                    <w:jc w:val="both"/>
                    <w:rPr>
                      <w:rFonts w:ascii="標楷體" w:hAnsi="標楷體"/>
                      <w:kern w:val="0"/>
                      <w:sz w:val="20"/>
                      <w:szCs w:val="24"/>
                    </w:rPr>
                  </w:pPr>
                  <w:r w:rsidRPr="0071176D">
                    <w:rPr>
                      <w:rFonts w:ascii="標楷體" w:hAnsi="標楷體" w:hint="eastAsia"/>
                      <w:kern w:val="0"/>
                      <w:sz w:val="20"/>
                      <w:szCs w:val="24"/>
                    </w:rPr>
                    <w:t>所得利益計算年數</w:t>
                  </w:r>
                </w:p>
              </w:tc>
              <w:tc>
                <w:tcPr>
                  <w:tcW w:w="850" w:type="dxa"/>
                </w:tcPr>
                <w:p w:rsidR="0071176D" w:rsidRPr="0071176D" w:rsidRDefault="0071176D" w:rsidP="0071176D">
                  <w:pPr>
                    <w:spacing w:line="240" w:lineRule="exact"/>
                    <w:jc w:val="both"/>
                    <w:rPr>
                      <w:rFonts w:ascii="標楷體" w:hAnsi="標楷體"/>
                      <w:kern w:val="0"/>
                      <w:sz w:val="20"/>
                      <w:szCs w:val="24"/>
                    </w:rPr>
                  </w:pPr>
                  <w:r w:rsidRPr="0071176D">
                    <w:rPr>
                      <w:rFonts w:ascii="標楷體" w:hAnsi="標楷體" w:hint="eastAsia"/>
                      <w:kern w:val="0"/>
                      <w:sz w:val="20"/>
                      <w:szCs w:val="24"/>
                    </w:rPr>
                    <w:t>利息</w:t>
                  </w:r>
                </w:p>
                <w:p w:rsidR="0071176D" w:rsidRPr="0071176D" w:rsidRDefault="0071176D" w:rsidP="0071176D">
                  <w:pPr>
                    <w:spacing w:line="240" w:lineRule="exact"/>
                    <w:jc w:val="both"/>
                    <w:rPr>
                      <w:rFonts w:ascii="標楷體" w:hAnsi="標楷體"/>
                      <w:kern w:val="0"/>
                      <w:sz w:val="20"/>
                      <w:szCs w:val="24"/>
                    </w:rPr>
                  </w:pPr>
                  <w:r w:rsidRPr="0071176D">
                    <w:rPr>
                      <w:rFonts w:ascii="標楷體" w:hAnsi="標楷體"/>
                      <w:kern w:val="0"/>
                      <w:sz w:val="20"/>
                      <w:szCs w:val="24"/>
                    </w:rPr>
                    <w:t>(萬元)</w:t>
                  </w:r>
                </w:p>
              </w:tc>
            </w:tr>
            <w:tr w:rsidR="0071176D" w:rsidRPr="0071176D" w:rsidTr="00EC5F86">
              <w:tc>
                <w:tcPr>
                  <w:tcW w:w="542" w:type="dxa"/>
                </w:tcPr>
                <w:p w:rsidR="0071176D" w:rsidRPr="0071176D" w:rsidRDefault="0071176D" w:rsidP="00777063">
                  <w:pPr>
                    <w:jc w:val="both"/>
                    <w:rPr>
                      <w:rFonts w:ascii="標楷體" w:hAnsi="標楷體"/>
                      <w:kern w:val="0"/>
                      <w:sz w:val="20"/>
                      <w:szCs w:val="24"/>
                    </w:rPr>
                  </w:pPr>
                  <w:r w:rsidRPr="0071176D">
                    <w:rPr>
                      <w:rFonts w:ascii="標楷體" w:hAnsi="標楷體"/>
                      <w:kern w:val="0"/>
                      <w:sz w:val="20"/>
                      <w:szCs w:val="24"/>
                    </w:rPr>
                    <w:t>10</w:t>
                  </w:r>
                  <w:r w:rsidR="00777063">
                    <w:rPr>
                      <w:rFonts w:ascii="標楷體" w:hAnsi="標楷體" w:hint="eastAsia"/>
                      <w:kern w:val="0"/>
                      <w:sz w:val="20"/>
                      <w:szCs w:val="24"/>
                    </w:rPr>
                    <w:t>4</w:t>
                  </w:r>
                </w:p>
              </w:tc>
              <w:tc>
                <w:tcPr>
                  <w:tcW w:w="850"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500</w:t>
                  </w:r>
                </w:p>
              </w:tc>
              <w:tc>
                <w:tcPr>
                  <w:tcW w:w="567"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1.2</w:t>
                  </w:r>
                </w:p>
              </w:tc>
              <w:tc>
                <w:tcPr>
                  <w:tcW w:w="851"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2</w:t>
                  </w:r>
                  <w:r w:rsidR="00777063">
                    <w:rPr>
                      <w:rFonts w:ascii="標楷體" w:hAnsi="標楷體" w:hint="eastAsia"/>
                      <w:kern w:val="0"/>
                      <w:sz w:val="20"/>
                      <w:szCs w:val="24"/>
                    </w:rPr>
                    <w:t>.0</w:t>
                  </w:r>
                </w:p>
              </w:tc>
              <w:tc>
                <w:tcPr>
                  <w:tcW w:w="850"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w:t>
                  </w:r>
                  <w:r w:rsidR="004D6909">
                    <w:rPr>
                      <w:rFonts w:ascii="標楷體" w:hAnsi="標楷體" w:hint="eastAsia"/>
                      <w:kern w:val="0"/>
                      <w:sz w:val="20"/>
                      <w:szCs w:val="24"/>
                    </w:rPr>
                    <w:t>2</w:t>
                  </w:r>
                </w:p>
              </w:tc>
            </w:tr>
            <w:tr w:rsidR="0071176D" w:rsidRPr="0071176D" w:rsidTr="00EC5F86">
              <w:tc>
                <w:tcPr>
                  <w:tcW w:w="542"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10</w:t>
                  </w:r>
                  <w:r w:rsidR="00777063">
                    <w:rPr>
                      <w:rFonts w:ascii="標楷體" w:hAnsi="標楷體" w:hint="eastAsia"/>
                      <w:kern w:val="0"/>
                      <w:sz w:val="20"/>
                      <w:szCs w:val="24"/>
                    </w:rPr>
                    <w:t>5</w:t>
                  </w:r>
                </w:p>
              </w:tc>
              <w:tc>
                <w:tcPr>
                  <w:tcW w:w="850"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700</w:t>
                  </w:r>
                </w:p>
              </w:tc>
              <w:tc>
                <w:tcPr>
                  <w:tcW w:w="567"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1.4</w:t>
                  </w:r>
                </w:p>
              </w:tc>
              <w:tc>
                <w:tcPr>
                  <w:tcW w:w="851"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w:t>
                  </w:r>
                  <w:r w:rsidR="00777063">
                    <w:rPr>
                      <w:rFonts w:ascii="標楷體" w:hAnsi="標楷體" w:hint="eastAsia"/>
                      <w:kern w:val="0"/>
                      <w:sz w:val="20"/>
                      <w:szCs w:val="24"/>
                    </w:rPr>
                    <w:t>.2</w:t>
                  </w:r>
                </w:p>
              </w:tc>
              <w:tc>
                <w:tcPr>
                  <w:tcW w:w="850"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w:t>
                  </w:r>
                  <w:r w:rsidR="004D6909">
                    <w:rPr>
                      <w:rFonts w:ascii="標楷體" w:hAnsi="標楷體" w:hint="eastAsia"/>
                      <w:kern w:val="0"/>
                      <w:sz w:val="20"/>
                      <w:szCs w:val="24"/>
                    </w:rPr>
                    <w:t>1.76</w:t>
                  </w:r>
                </w:p>
              </w:tc>
            </w:tr>
            <w:tr w:rsidR="0071176D" w:rsidRPr="0071176D" w:rsidTr="00EC5F86">
              <w:tc>
                <w:tcPr>
                  <w:tcW w:w="542"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10</w:t>
                  </w:r>
                  <w:r w:rsidR="00777063">
                    <w:rPr>
                      <w:rFonts w:ascii="標楷體" w:hAnsi="標楷體" w:hint="eastAsia"/>
                      <w:kern w:val="0"/>
                      <w:sz w:val="20"/>
                      <w:szCs w:val="24"/>
                    </w:rPr>
                    <w:t>6</w:t>
                  </w:r>
                </w:p>
              </w:tc>
              <w:tc>
                <w:tcPr>
                  <w:tcW w:w="850"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100</w:t>
                  </w:r>
                </w:p>
              </w:tc>
              <w:tc>
                <w:tcPr>
                  <w:tcW w:w="567"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1.4</w:t>
                  </w:r>
                </w:p>
              </w:tc>
              <w:tc>
                <w:tcPr>
                  <w:tcW w:w="851"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0.</w:t>
                  </w:r>
                  <w:r w:rsidR="00777063">
                    <w:rPr>
                      <w:rFonts w:ascii="標楷體" w:hAnsi="標楷體" w:hint="eastAsia"/>
                      <w:kern w:val="0"/>
                      <w:sz w:val="20"/>
                      <w:szCs w:val="24"/>
                    </w:rPr>
                    <w:t>2</w:t>
                  </w:r>
                </w:p>
              </w:tc>
              <w:tc>
                <w:tcPr>
                  <w:tcW w:w="850" w:type="dxa"/>
                </w:tcPr>
                <w:p w:rsidR="0071176D" w:rsidRPr="0071176D" w:rsidRDefault="0071176D" w:rsidP="0071176D">
                  <w:pPr>
                    <w:jc w:val="both"/>
                    <w:rPr>
                      <w:rFonts w:ascii="標楷體" w:hAnsi="標楷體"/>
                      <w:kern w:val="0"/>
                      <w:sz w:val="20"/>
                      <w:szCs w:val="24"/>
                    </w:rPr>
                  </w:pPr>
                  <w:r w:rsidRPr="0071176D">
                    <w:rPr>
                      <w:rFonts w:ascii="標楷體" w:hAnsi="標楷體"/>
                      <w:kern w:val="0"/>
                      <w:sz w:val="20"/>
                      <w:szCs w:val="24"/>
                    </w:rPr>
                    <w:t>0</w:t>
                  </w:r>
                  <w:r w:rsidR="004D6909">
                    <w:rPr>
                      <w:rFonts w:ascii="標楷體" w:hAnsi="標楷體" w:hint="eastAsia"/>
                      <w:kern w:val="0"/>
                      <w:sz w:val="20"/>
                      <w:szCs w:val="24"/>
                    </w:rPr>
                    <w:t>.28</w:t>
                  </w:r>
                </w:p>
              </w:tc>
            </w:tr>
          </w:tbl>
          <w:p w:rsidR="0071176D" w:rsidRPr="0071176D" w:rsidRDefault="0071176D" w:rsidP="004D6909">
            <w:pPr>
              <w:adjustRightInd w:val="0"/>
              <w:ind w:left="480"/>
              <w:textAlignment w:val="baseline"/>
              <w:rPr>
                <w:rFonts w:ascii="標楷體" w:hAnsi="標楷體"/>
                <w:kern w:val="0"/>
                <w:szCs w:val="24"/>
              </w:rPr>
            </w:pPr>
            <w:r w:rsidRPr="0071176D">
              <w:rPr>
                <w:rFonts w:ascii="標楷體" w:hAnsi="標楷體" w:hint="eastAsia"/>
                <w:kern w:val="0"/>
                <w:szCs w:val="24"/>
              </w:rPr>
              <w:lastRenderedPageBreak/>
              <w:t>所得利益總和</w:t>
            </w:r>
            <w:r w:rsidRPr="0071176D">
              <w:rPr>
                <w:rFonts w:ascii="標楷體" w:hAnsi="標楷體"/>
                <w:kern w:val="0"/>
                <w:szCs w:val="24"/>
              </w:rPr>
              <w:t>=500+1</w:t>
            </w:r>
            <w:r w:rsidR="004D6909">
              <w:rPr>
                <w:rFonts w:ascii="標楷體" w:hAnsi="標楷體" w:hint="eastAsia"/>
                <w:kern w:val="0"/>
                <w:szCs w:val="24"/>
              </w:rPr>
              <w:t>2</w:t>
            </w:r>
            <w:r w:rsidRPr="0071176D">
              <w:rPr>
                <w:rFonts w:ascii="標楷體" w:hAnsi="標楷體"/>
                <w:kern w:val="0"/>
                <w:szCs w:val="24"/>
              </w:rPr>
              <w:t>+700+1</w:t>
            </w:r>
            <w:r w:rsidR="004D6909">
              <w:rPr>
                <w:rFonts w:ascii="標楷體" w:hAnsi="標楷體" w:hint="eastAsia"/>
                <w:kern w:val="0"/>
                <w:szCs w:val="24"/>
              </w:rPr>
              <w:t>1.76</w:t>
            </w:r>
            <w:r w:rsidRPr="0071176D">
              <w:rPr>
                <w:rFonts w:ascii="標楷體" w:hAnsi="標楷體"/>
                <w:kern w:val="0"/>
                <w:szCs w:val="24"/>
              </w:rPr>
              <w:t>+100+</w:t>
            </w:r>
            <w:r w:rsidR="004D6909">
              <w:rPr>
                <w:rFonts w:ascii="標楷體" w:hAnsi="標楷體" w:hint="eastAsia"/>
                <w:kern w:val="0"/>
                <w:szCs w:val="24"/>
              </w:rPr>
              <w:t>0.28</w:t>
            </w:r>
            <w:r w:rsidRPr="0071176D">
              <w:rPr>
                <w:rFonts w:ascii="標楷體" w:hAnsi="標楷體"/>
                <w:kern w:val="0"/>
                <w:szCs w:val="24"/>
              </w:rPr>
              <w:t>= 132</w:t>
            </w:r>
            <w:r w:rsidR="004D6909">
              <w:rPr>
                <w:rFonts w:ascii="標楷體" w:hAnsi="標楷體" w:hint="eastAsia"/>
                <w:kern w:val="0"/>
                <w:szCs w:val="24"/>
              </w:rPr>
              <w:t>4.04萬</w:t>
            </w:r>
            <w:r w:rsidRPr="0071176D">
              <w:rPr>
                <w:rFonts w:ascii="標楷體" w:hAnsi="標楷體"/>
                <w:kern w:val="0"/>
                <w:szCs w:val="24"/>
              </w:rPr>
              <w:t>元</w:t>
            </w:r>
          </w:p>
        </w:tc>
      </w:tr>
      <w:tr w:rsidR="0071176D" w:rsidRPr="0071176D" w:rsidTr="00EC5F86">
        <w:trPr>
          <w:trHeight w:val="274"/>
        </w:trPr>
        <w:tc>
          <w:tcPr>
            <w:tcW w:w="2500" w:type="pct"/>
          </w:tcPr>
          <w:p w:rsidR="0071176D" w:rsidRPr="00732380" w:rsidRDefault="0071176D" w:rsidP="0071176D">
            <w:pPr>
              <w:adjustRightInd w:val="0"/>
              <w:ind w:leftChars="-2" w:left="245" w:hangingChars="104" w:hanging="250"/>
              <w:jc w:val="both"/>
              <w:textAlignment w:val="baseline"/>
              <w:rPr>
                <w:rFonts w:ascii="標楷體" w:hAnsi="標楷體"/>
                <w:kern w:val="0"/>
                <w:szCs w:val="24"/>
              </w:rPr>
            </w:pPr>
            <w:r w:rsidRPr="00732380">
              <w:rPr>
                <w:rFonts w:ascii="標楷體" w:hAnsi="標楷體"/>
                <w:kern w:val="0"/>
                <w:szCs w:val="24"/>
              </w:rPr>
              <w:lastRenderedPageBreak/>
              <w:t>第</w:t>
            </w:r>
            <w:r w:rsidRPr="00732380">
              <w:rPr>
                <w:rFonts w:ascii="標楷體" w:hAnsi="標楷體" w:hint="eastAsia"/>
                <w:kern w:val="0"/>
                <w:szCs w:val="24"/>
              </w:rPr>
              <w:t>十</w:t>
            </w:r>
            <w:r w:rsidR="00332B06">
              <w:rPr>
                <w:rFonts w:ascii="標楷體" w:hAnsi="標楷體" w:hint="eastAsia"/>
                <w:kern w:val="0"/>
                <w:szCs w:val="24"/>
              </w:rPr>
              <w:t>二</w:t>
            </w:r>
            <w:r w:rsidRPr="00732380">
              <w:rPr>
                <w:rFonts w:ascii="標楷體" w:hAnsi="標楷體"/>
                <w:kern w:val="0"/>
                <w:szCs w:val="24"/>
              </w:rPr>
              <w:t xml:space="preserve">條　</w:t>
            </w:r>
            <w:r w:rsidRPr="00732380">
              <w:rPr>
                <w:rFonts w:ascii="標楷體" w:hAnsi="標楷體" w:hint="eastAsia"/>
                <w:kern w:val="0"/>
                <w:szCs w:val="24"/>
              </w:rPr>
              <w:t>受有利益人應依主管機關規定期限，檢具所得利益之相關資料供主管機關據以核算、推估違反本法義務之所得利益。</w:t>
            </w:r>
          </w:p>
          <w:p w:rsidR="0071176D" w:rsidRPr="00732380" w:rsidRDefault="0071176D" w:rsidP="00D910F0">
            <w:pPr>
              <w:adjustRightInd w:val="0"/>
              <w:ind w:leftChars="102" w:left="245" w:firstLineChars="200" w:firstLine="480"/>
              <w:jc w:val="both"/>
              <w:textAlignment w:val="baseline"/>
              <w:rPr>
                <w:rFonts w:ascii="標楷體" w:hAnsi="標楷體"/>
                <w:kern w:val="0"/>
                <w:szCs w:val="24"/>
              </w:rPr>
            </w:pPr>
            <w:r w:rsidRPr="00732380">
              <w:rPr>
                <w:rFonts w:ascii="標楷體" w:hAnsi="標楷體" w:hint="eastAsia"/>
                <w:kern w:val="0"/>
                <w:szCs w:val="24"/>
              </w:rPr>
              <w:t>主管機關為前項之查證，必要時，得請稅捐</w:t>
            </w:r>
            <w:proofErr w:type="gramStart"/>
            <w:r w:rsidRPr="00732380">
              <w:rPr>
                <w:rFonts w:ascii="標楷體" w:hAnsi="標楷體" w:hint="eastAsia"/>
                <w:kern w:val="0"/>
                <w:szCs w:val="24"/>
              </w:rPr>
              <w:t>稽</w:t>
            </w:r>
            <w:proofErr w:type="gramEnd"/>
            <w:r w:rsidRPr="00732380">
              <w:rPr>
                <w:rFonts w:ascii="標楷體" w:hAnsi="標楷體" w:hint="eastAsia"/>
                <w:kern w:val="0"/>
                <w:szCs w:val="24"/>
              </w:rPr>
              <w:t>徵機關、金融監督管理委員會、電力</w:t>
            </w:r>
            <w:r w:rsidR="00D910F0" w:rsidRPr="002E643A">
              <w:rPr>
                <w:rFonts w:ascii="標楷體" w:hAnsi="標楷體" w:hint="eastAsia"/>
                <w:kern w:val="0"/>
                <w:szCs w:val="24"/>
              </w:rPr>
              <w:t>供應機構</w:t>
            </w:r>
            <w:r w:rsidRPr="00732380">
              <w:rPr>
                <w:rFonts w:ascii="標楷體" w:hAnsi="標楷體" w:hint="eastAsia"/>
                <w:kern w:val="0"/>
                <w:szCs w:val="24"/>
              </w:rPr>
              <w:t>、自來水供水機構或其他相關主管機關（構）、事業單位、團體等協助。</w:t>
            </w:r>
          </w:p>
        </w:tc>
        <w:tc>
          <w:tcPr>
            <w:tcW w:w="2500" w:type="pct"/>
          </w:tcPr>
          <w:p w:rsidR="0071176D" w:rsidRPr="00732380" w:rsidRDefault="001C7A08" w:rsidP="0071176D">
            <w:pPr>
              <w:numPr>
                <w:ilvl w:val="0"/>
                <w:numId w:val="12"/>
              </w:numPr>
              <w:adjustRightInd w:val="0"/>
              <w:spacing w:line="360" w:lineRule="atLeast"/>
              <w:jc w:val="both"/>
              <w:textAlignment w:val="baseline"/>
              <w:rPr>
                <w:rFonts w:ascii="標楷體" w:hAnsi="標楷體"/>
                <w:kern w:val="0"/>
                <w:szCs w:val="24"/>
              </w:rPr>
            </w:pPr>
            <w:r w:rsidRPr="00732380">
              <w:rPr>
                <w:rFonts w:ascii="標楷體" w:hAnsi="標楷體" w:hint="eastAsia"/>
                <w:kern w:val="0"/>
                <w:szCs w:val="24"/>
              </w:rPr>
              <w:t>參考行政程序法第四十條</w:t>
            </w:r>
            <w:r w:rsidRPr="00732380">
              <w:rPr>
                <w:rFonts w:ascii="標楷體" w:hAnsi="標楷體" w:cs="細明體" w:hint="eastAsia"/>
                <w:kern w:val="0"/>
                <w:szCs w:val="24"/>
              </w:rPr>
              <w:t>，</w:t>
            </w:r>
            <w:r w:rsidR="0071176D" w:rsidRPr="00732380">
              <w:rPr>
                <w:rFonts w:ascii="標楷體" w:hAnsi="標楷體" w:hint="eastAsia"/>
                <w:kern w:val="0"/>
                <w:szCs w:val="24"/>
              </w:rPr>
              <w:t>基於調查事實及證據之必要，得要求</w:t>
            </w:r>
            <w:r w:rsidRPr="00732380">
              <w:rPr>
                <w:rFonts w:ascii="標楷體" w:hAnsi="標楷體" w:hint="eastAsia"/>
                <w:kern w:val="0"/>
                <w:szCs w:val="24"/>
              </w:rPr>
              <w:t>當事人或第三人</w:t>
            </w:r>
            <w:r w:rsidR="0071176D" w:rsidRPr="00732380">
              <w:rPr>
                <w:rFonts w:ascii="標楷體" w:hAnsi="標楷體" w:hint="eastAsia"/>
                <w:kern w:val="0"/>
                <w:szCs w:val="24"/>
              </w:rPr>
              <w:t>提供必要之文書、資料或物品，</w:t>
            </w:r>
            <w:proofErr w:type="gramStart"/>
            <w:r w:rsidR="0071176D" w:rsidRPr="00732380">
              <w:rPr>
                <w:rFonts w:ascii="標楷體" w:hAnsi="標楷體" w:hint="eastAsia"/>
                <w:kern w:val="0"/>
                <w:szCs w:val="24"/>
              </w:rPr>
              <w:t>爰</w:t>
            </w:r>
            <w:proofErr w:type="gramEnd"/>
            <w:r w:rsidR="0071176D" w:rsidRPr="00732380">
              <w:rPr>
                <w:rFonts w:ascii="標楷體" w:hAnsi="標楷體" w:hint="eastAsia"/>
                <w:kern w:val="0"/>
                <w:szCs w:val="24"/>
              </w:rPr>
              <w:t>受有利益</w:t>
            </w:r>
            <w:r w:rsidRPr="00732380">
              <w:rPr>
                <w:rFonts w:ascii="標楷體" w:hAnsi="標楷體" w:hint="eastAsia"/>
                <w:kern w:val="0"/>
                <w:szCs w:val="24"/>
              </w:rPr>
              <w:t>人及相關機關（構）</w:t>
            </w:r>
            <w:r w:rsidR="0071176D" w:rsidRPr="00732380">
              <w:rPr>
                <w:rFonts w:ascii="標楷體" w:hAnsi="標楷體" w:hint="eastAsia"/>
                <w:kern w:val="0"/>
                <w:szCs w:val="24"/>
              </w:rPr>
              <w:t>之舉證責任。</w:t>
            </w:r>
          </w:p>
          <w:p w:rsidR="0071176D" w:rsidRPr="00732380" w:rsidRDefault="0071176D" w:rsidP="0071176D">
            <w:pPr>
              <w:numPr>
                <w:ilvl w:val="0"/>
                <w:numId w:val="12"/>
              </w:numPr>
              <w:adjustRightInd w:val="0"/>
              <w:spacing w:line="360" w:lineRule="atLeast"/>
              <w:jc w:val="both"/>
              <w:textAlignment w:val="baseline"/>
              <w:rPr>
                <w:rFonts w:ascii="標楷體" w:hAnsi="標楷體"/>
                <w:kern w:val="0"/>
                <w:szCs w:val="24"/>
              </w:rPr>
            </w:pPr>
            <w:r w:rsidRPr="00732380">
              <w:rPr>
                <w:rFonts w:ascii="標楷體" w:hAnsi="標楷體" w:hint="eastAsia"/>
                <w:kern w:val="0"/>
                <w:szCs w:val="24"/>
              </w:rPr>
              <w:t>參考</w:t>
            </w:r>
            <w:proofErr w:type="gramStart"/>
            <w:r w:rsidRPr="00732380">
              <w:rPr>
                <w:rFonts w:ascii="標楷體" w:hAnsi="標楷體" w:hint="eastAsia"/>
                <w:kern w:val="0"/>
                <w:szCs w:val="24"/>
              </w:rPr>
              <w:t>租稅推計課稅</w:t>
            </w:r>
            <w:proofErr w:type="gramEnd"/>
            <w:r w:rsidRPr="00732380">
              <w:rPr>
                <w:rFonts w:ascii="標楷體" w:hAnsi="標楷體" w:hint="eastAsia"/>
                <w:kern w:val="0"/>
                <w:szCs w:val="24"/>
              </w:rPr>
              <w:t>理論，未於期限內提供或經主管機關認定提供資料不完整，主管機關得逕行依查得之資料或參考同業利潤標準，合理估算所得利益。</w:t>
            </w:r>
          </w:p>
          <w:p w:rsidR="0071176D" w:rsidRPr="00732380" w:rsidRDefault="0071176D" w:rsidP="002E643A">
            <w:pPr>
              <w:adjustRightInd w:val="0"/>
              <w:spacing w:line="360" w:lineRule="atLeast"/>
              <w:ind w:left="-77"/>
              <w:jc w:val="both"/>
              <w:textAlignment w:val="baseline"/>
              <w:rPr>
                <w:rFonts w:ascii="標楷體" w:hAnsi="標楷體"/>
                <w:kern w:val="0"/>
                <w:szCs w:val="24"/>
              </w:rPr>
            </w:pPr>
          </w:p>
        </w:tc>
      </w:tr>
      <w:tr w:rsidR="0071176D" w:rsidRPr="0071176D" w:rsidTr="00EC5F86">
        <w:trPr>
          <w:trHeight w:val="274"/>
        </w:trPr>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hint="eastAsia"/>
                <w:kern w:val="0"/>
                <w:szCs w:val="24"/>
              </w:rPr>
              <w:t>第十</w:t>
            </w:r>
            <w:r w:rsidR="00332B06">
              <w:rPr>
                <w:rFonts w:ascii="標楷體" w:hAnsi="標楷體" w:hint="eastAsia"/>
                <w:kern w:val="0"/>
                <w:szCs w:val="24"/>
              </w:rPr>
              <w:t>三</w:t>
            </w:r>
            <w:r w:rsidRPr="0071176D">
              <w:rPr>
                <w:rFonts w:ascii="標楷體" w:hAnsi="標楷體" w:hint="eastAsia"/>
                <w:kern w:val="0"/>
                <w:szCs w:val="24"/>
              </w:rPr>
              <w:t>條　主管機關得委託專業機構執行所得利益之核算或推估，必要時，得邀請專家學者協助。</w:t>
            </w:r>
          </w:p>
        </w:tc>
        <w:tc>
          <w:tcPr>
            <w:tcW w:w="2500" w:type="pct"/>
          </w:tcPr>
          <w:p w:rsidR="0071176D" w:rsidRPr="0071176D" w:rsidRDefault="0071176D" w:rsidP="0071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kern w:val="0"/>
                <w:szCs w:val="24"/>
              </w:rPr>
            </w:pPr>
            <w:r w:rsidRPr="0071176D">
              <w:rPr>
                <w:rFonts w:ascii="標楷體" w:hAnsi="標楷體" w:hint="eastAsia"/>
                <w:kern w:val="0"/>
                <w:szCs w:val="24"/>
              </w:rPr>
              <w:t>所得利益得委託核算、推估及</w:t>
            </w:r>
            <w:proofErr w:type="gramStart"/>
            <w:r w:rsidRPr="0071176D">
              <w:rPr>
                <w:rFonts w:ascii="標楷體" w:hAnsi="標楷體" w:hint="eastAsia"/>
                <w:kern w:val="0"/>
                <w:szCs w:val="24"/>
              </w:rPr>
              <w:t>專家協審機制</w:t>
            </w:r>
            <w:proofErr w:type="gramEnd"/>
            <w:r w:rsidRPr="0071176D">
              <w:rPr>
                <w:rFonts w:ascii="標楷體" w:hAnsi="標楷體" w:hint="eastAsia"/>
                <w:kern w:val="0"/>
                <w:szCs w:val="24"/>
              </w:rPr>
              <w:t>。</w:t>
            </w:r>
          </w:p>
        </w:tc>
      </w:tr>
      <w:tr w:rsidR="0071176D" w:rsidRPr="0071176D" w:rsidTr="00EC5F86">
        <w:trPr>
          <w:trHeight w:val="274"/>
        </w:trPr>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hint="eastAsia"/>
                <w:kern w:val="0"/>
                <w:szCs w:val="24"/>
              </w:rPr>
              <w:t>第十</w:t>
            </w:r>
            <w:r w:rsidR="00332B06">
              <w:rPr>
                <w:rFonts w:ascii="標楷體" w:hAnsi="標楷體" w:hint="eastAsia"/>
                <w:kern w:val="0"/>
                <w:szCs w:val="24"/>
              </w:rPr>
              <w:t>四</w:t>
            </w:r>
            <w:r w:rsidRPr="0071176D">
              <w:rPr>
                <w:rFonts w:ascii="標楷體" w:hAnsi="標楷體" w:hint="eastAsia"/>
                <w:kern w:val="0"/>
                <w:szCs w:val="24"/>
              </w:rPr>
              <w:t>條　主管機關對所得利益之核算與推估，為有效達成行政目的，並解決爭執，有下列情形之一，得於無礙公益維護前提下，與受有利益人進行</w:t>
            </w:r>
            <w:r w:rsidR="00AC59EA">
              <w:rPr>
                <w:rFonts w:ascii="標楷體" w:hAnsi="標楷體" w:hint="eastAsia"/>
                <w:kern w:val="0"/>
                <w:szCs w:val="24"/>
              </w:rPr>
              <w:t>協談</w:t>
            </w:r>
            <w:r w:rsidRPr="0071176D">
              <w:rPr>
                <w:rFonts w:ascii="標楷體" w:hAnsi="標楷體" w:hint="eastAsia"/>
                <w:kern w:val="0"/>
                <w:szCs w:val="24"/>
              </w:rPr>
              <w:t>：</w:t>
            </w:r>
          </w:p>
          <w:p w:rsidR="0071176D" w:rsidRPr="0071176D" w:rsidRDefault="0071176D" w:rsidP="0071176D">
            <w:pPr>
              <w:adjustRightInd w:val="0"/>
              <w:ind w:leftChars="100" w:left="720" w:hangingChars="200" w:hanging="480"/>
              <w:jc w:val="both"/>
              <w:textAlignment w:val="baseline"/>
              <w:rPr>
                <w:rFonts w:ascii="標楷體" w:hAnsi="標楷體"/>
                <w:kern w:val="0"/>
                <w:szCs w:val="24"/>
              </w:rPr>
            </w:pPr>
            <w:r w:rsidRPr="0071176D">
              <w:rPr>
                <w:rFonts w:ascii="標楷體" w:hAnsi="標楷體" w:hint="eastAsia"/>
                <w:kern w:val="0"/>
                <w:szCs w:val="24"/>
              </w:rPr>
              <w:t>一、</w:t>
            </w:r>
            <w:r w:rsidRPr="0071176D">
              <w:rPr>
                <w:rFonts w:ascii="標楷體" w:hAnsi="標楷體"/>
                <w:kern w:val="0"/>
                <w:szCs w:val="24"/>
              </w:rPr>
              <w:tab/>
            </w:r>
            <w:r w:rsidRPr="0071176D">
              <w:rPr>
                <w:rFonts w:ascii="標楷體" w:hAnsi="標楷體" w:hint="eastAsia"/>
                <w:kern w:val="0"/>
                <w:szCs w:val="24"/>
              </w:rPr>
              <w:t>主管機關對於所得利益之核算與推估，所依據之查證資料，經職權調查相對可得確定者。</w:t>
            </w:r>
          </w:p>
          <w:p w:rsidR="0071176D" w:rsidRPr="0071176D" w:rsidRDefault="0071176D" w:rsidP="0071176D">
            <w:pPr>
              <w:adjustRightInd w:val="0"/>
              <w:ind w:leftChars="100" w:left="720" w:hangingChars="200" w:hanging="480"/>
              <w:jc w:val="both"/>
              <w:textAlignment w:val="baseline"/>
              <w:rPr>
                <w:rFonts w:ascii="標楷體" w:hAnsi="標楷體"/>
                <w:kern w:val="0"/>
                <w:szCs w:val="24"/>
              </w:rPr>
            </w:pPr>
            <w:r w:rsidRPr="0071176D">
              <w:rPr>
                <w:rFonts w:ascii="標楷體" w:hAnsi="標楷體" w:hint="eastAsia"/>
                <w:kern w:val="0"/>
                <w:szCs w:val="24"/>
              </w:rPr>
              <w:t>二、</w:t>
            </w:r>
            <w:r w:rsidRPr="0071176D">
              <w:rPr>
                <w:rFonts w:ascii="標楷體" w:hAnsi="標楷體"/>
                <w:kern w:val="0"/>
                <w:szCs w:val="24"/>
              </w:rPr>
              <w:tab/>
            </w:r>
            <w:r w:rsidRPr="0071176D">
              <w:rPr>
                <w:rFonts w:ascii="標楷體" w:hAnsi="標楷體" w:hint="eastAsia"/>
                <w:kern w:val="0"/>
                <w:szCs w:val="24"/>
              </w:rPr>
              <w:t>受有利益人與主管機關對所得利益認定上有爭議者。</w:t>
            </w:r>
          </w:p>
          <w:p w:rsidR="0071176D" w:rsidRPr="0071176D" w:rsidRDefault="0071176D" w:rsidP="0071176D">
            <w:pPr>
              <w:adjustRightInd w:val="0"/>
              <w:ind w:leftChars="100" w:left="720" w:hangingChars="200" w:hanging="480"/>
              <w:jc w:val="both"/>
              <w:textAlignment w:val="baseline"/>
              <w:rPr>
                <w:rFonts w:ascii="標楷體" w:hAnsi="標楷體"/>
                <w:kern w:val="0"/>
                <w:szCs w:val="24"/>
              </w:rPr>
            </w:pPr>
            <w:r w:rsidRPr="0071176D">
              <w:rPr>
                <w:rFonts w:ascii="標楷體" w:hAnsi="標楷體" w:hint="eastAsia"/>
                <w:kern w:val="0"/>
                <w:szCs w:val="24"/>
              </w:rPr>
              <w:t>三、受有利益人受有罰金、罰鍰或行政處分等營業外損失，減少實際利益者。</w:t>
            </w:r>
          </w:p>
          <w:p w:rsidR="0071176D" w:rsidRPr="0071176D" w:rsidRDefault="0071176D" w:rsidP="0071176D">
            <w:pPr>
              <w:adjustRightInd w:val="0"/>
              <w:ind w:leftChars="100" w:left="720" w:hangingChars="200" w:hanging="480"/>
              <w:jc w:val="both"/>
              <w:textAlignment w:val="baseline"/>
              <w:rPr>
                <w:rFonts w:ascii="標楷體" w:hAnsi="標楷體"/>
                <w:kern w:val="0"/>
                <w:szCs w:val="24"/>
              </w:rPr>
            </w:pPr>
            <w:r w:rsidRPr="0071176D">
              <w:rPr>
                <w:rFonts w:ascii="標楷體" w:hAnsi="標楷體" w:hint="eastAsia"/>
                <w:kern w:val="0"/>
                <w:szCs w:val="24"/>
              </w:rPr>
              <w:lastRenderedPageBreak/>
              <w:t>四、受有利益人對違反本法義務所造成之環境污染或破壞進行善後處理或環境復育，以維護水資源清潔及環境永續利用。</w:t>
            </w:r>
          </w:p>
          <w:p w:rsidR="0071176D" w:rsidRPr="0071176D" w:rsidRDefault="0071176D" w:rsidP="0071176D">
            <w:pPr>
              <w:adjustRightInd w:val="0"/>
              <w:ind w:leftChars="102" w:left="245" w:firstLineChars="200" w:firstLine="480"/>
              <w:jc w:val="both"/>
              <w:textAlignment w:val="baseline"/>
              <w:rPr>
                <w:rFonts w:ascii="標楷體" w:hAnsi="標楷體"/>
                <w:kern w:val="0"/>
                <w:szCs w:val="24"/>
              </w:rPr>
            </w:pPr>
            <w:r w:rsidRPr="0071176D">
              <w:rPr>
                <w:rFonts w:ascii="標楷體" w:hAnsi="標楷體" w:hint="eastAsia"/>
                <w:kern w:val="0"/>
                <w:szCs w:val="24"/>
              </w:rPr>
              <w:t>受有利益人依前項規定與主管機關進行</w:t>
            </w:r>
            <w:r w:rsidR="00AC59EA">
              <w:rPr>
                <w:rFonts w:ascii="標楷體" w:hAnsi="標楷體" w:hint="eastAsia"/>
                <w:kern w:val="0"/>
                <w:szCs w:val="24"/>
              </w:rPr>
              <w:t>協談</w:t>
            </w:r>
            <w:r w:rsidRPr="0071176D">
              <w:rPr>
                <w:rFonts w:ascii="標楷體" w:hAnsi="標楷體" w:hint="eastAsia"/>
                <w:kern w:val="0"/>
                <w:szCs w:val="24"/>
              </w:rPr>
              <w:t>者，應檢具營利事業所得結算申報書、會計師簽證之查核報告書或當年度新設立公司自編之財務報表、營業外損失文件單據、環境污染善後處理（復育）計畫或其他佐證資料。</w:t>
            </w:r>
          </w:p>
        </w:tc>
        <w:tc>
          <w:tcPr>
            <w:tcW w:w="2500" w:type="pct"/>
          </w:tcPr>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lastRenderedPageBreak/>
              <w:t>一、考量所得利益之追繳多屬重大矚目事件且利益範圍龐大，應給予受有利益人明確之陳述意見表達，</w:t>
            </w:r>
            <w:proofErr w:type="gramStart"/>
            <w:r w:rsidRPr="0071176D">
              <w:rPr>
                <w:rFonts w:ascii="標楷體" w:hAnsi="標楷體" w:hint="eastAsia"/>
                <w:kern w:val="0"/>
                <w:szCs w:val="24"/>
              </w:rPr>
              <w:t>爰</w:t>
            </w:r>
            <w:proofErr w:type="gramEnd"/>
            <w:r w:rsidRPr="0071176D">
              <w:rPr>
                <w:rFonts w:ascii="標楷體" w:hAnsi="標楷體" w:hint="eastAsia"/>
                <w:kern w:val="0"/>
                <w:szCs w:val="24"/>
              </w:rPr>
              <w:t>於本條及第</w:t>
            </w:r>
            <w:proofErr w:type="gramStart"/>
            <w:r w:rsidRPr="0071176D">
              <w:rPr>
                <w:rFonts w:ascii="標楷體" w:hAnsi="標楷體" w:hint="eastAsia"/>
                <w:kern w:val="0"/>
                <w:szCs w:val="24"/>
              </w:rPr>
              <w:t>十</w:t>
            </w:r>
            <w:r w:rsidR="004D6909">
              <w:rPr>
                <w:rFonts w:ascii="標楷體" w:hAnsi="標楷體" w:hint="eastAsia"/>
                <w:kern w:val="0"/>
                <w:szCs w:val="24"/>
              </w:rPr>
              <w:t>五</w:t>
            </w:r>
            <w:r w:rsidRPr="0071176D">
              <w:rPr>
                <w:rFonts w:ascii="標楷體" w:hAnsi="標楷體" w:hint="eastAsia"/>
                <w:kern w:val="0"/>
                <w:szCs w:val="24"/>
              </w:rPr>
              <w:t>條</w:t>
            </w:r>
            <w:r w:rsidR="003C1BB5">
              <w:rPr>
                <w:rFonts w:ascii="標楷體" w:hAnsi="標楷體" w:hint="eastAsia"/>
                <w:kern w:val="0"/>
                <w:szCs w:val="24"/>
              </w:rPr>
              <w:t>敘</w:t>
            </w:r>
            <w:r w:rsidRPr="0071176D">
              <w:rPr>
                <w:rFonts w:ascii="標楷體" w:hAnsi="標楷體" w:hint="eastAsia"/>
                <w:kern w:val="0"/>
                <w:szCs w:val="24"/>
              </w:rPr>
              <w:t>明</w:t>
            </w:r>
            <w:proofErr w:type="gramEnd"/>
            <w:r w:rsidRPr="0071176D">
              <w:rPr>
                <w:rFonts w:ascii="標楷體" w:hAnsi="標楷體" w:hint="eastAsia"/>
                <w:kern w:val="0"/>
                <w:szCs w:val="24"/>
              </w:rPr>
              <w:t>主管機關與受有利益人</w:t>
            </w:r>
            <w:r w:rsidR="00AC59EA">
              <w:rPr>
                <w:rFonts w:ascii="標楷體" w:hAnsi="標楷體" w:hint="eastAsia"/>
                <w:kern w:val="0"/>
                <w:szCs w:val="24"/>
              </w:rPr>
              <w:t>協談</w:t>
            </w:r>
            <w:r w:rsidRPr="0071176D">
              <w:rPr>
                <w:rFonts w:ascii="標楷體" w:hAnsi="標楷體" w:hint="eastAsia"/>
                <w:kern w:val="0"/>
                <w:szCs w:val="24"/>
              </w:rPr>
              <w:t>機制，作為陳述意見之特別程序。</w:t>
            </w:r>
          </w:p>
          <w:p w:rsidR="0071176D" w:rsidRP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二、如所得利益人有營業外損失如罰金、罰鍰、行政處分或經其他法令追繳所得利益等致實際所得利益與主管機關查證推估結果不符者，得列舉實際損失項目及金額，予以減列。</w:t>
            </w:r>
          </w:p>
        </w:tc>
      </w:tr>
      <w:tr w:rsidR="0071176D" w:rsidRPr="0071176D" w:rsidTr="00EC5F86">
        <w:trPr>
          <w:trHeight w:val="274"/>
        </w:trPr>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lastRenderedPageBreak/>
              <w:t>第</w:t>
            </w:r>
            <w:r w:rsidRPr="0071176D">
              <w:rPr>
                <w:rFonts w:ascii="標楷體" w:hAnsi="標楷體" w:hint="eastAsia"/>
                <w:kern w:val="0"/>
                <w:szCs w:val="24"/>
              </w:rPr>
              <w:t>十</w:t>
            </w:r>
            <w:r w:rsidR="00332B06">
              <w:rPr>
                <w:rFonts w:ascii="標楷體" w:hAnsi="標楷體" w:hint="eastAsia"/>
                <w:kern w:val="0"/>
                <w:szCs w:val="24"/>
              </w:rPr>
              <w:t>五</w:t>
            </w:r>
            <w:r w:rsidRPr="0071176D">
              <w:rPr>
                <w:rFonts w:ascii="標楷體" w:hAnsi="標楷體"/>
                <w:kern w:val="0"/>
                <w:szCs w:val="24"/>
              </w:rPr>
              <w:t xml:space="preserve">條　</w:t>
            </w:r>
            <w:r w:rsidRPr="0071176D">
              <w:rPr>
                <w:rFonts w:ascii="標楷體" w:hAnsi="標楷體" w:hint="eastAsia"/>
                <w:kern w:val="0"/>
                <w:szCs w:val="24"/>
              </w:rPr>
              <w:t>主管機關與受有利益人進行</w:t>
            </w:r>
            <w:r w:rsidR="00AC59EA">
              <w:rPr>
                <w:rFonts w:ascii="標楷體" w:hAnsi="標楷體" w:hint="eastAsia"/>
                <w:kern w:val="0"/>
                <w:szCs w:val="24"/>
              </w:rPr>
              <w:t>協談</w:t>
            </w:r>
            <w:r w:rsidRPr="0071176D">
              <w:rPr>
                <w:rFonts w:ascii="標楷體" w:hAnsi="標楷體" w:hint="eastAsia"/>
                <w:kern w:val="0"/>
                <w:szCs w:val="24"/>
              </w:rPr>
              <w:t>時，應檢視受有利益人所附</w:t>
            </w:r>
            <w:r w:rsidR="00FD357E">
              <w:rPr>
                <w:rFonts w:ascii="標楷體" w:hAnsi="標楷體" w:hint="eastAsia"/>
                <w:kern w:val="0"/>
                <w:szCs w:val="24"/>
              </w:rPr>
              <w:t>佐證資料</w:t>
            </w:r>
            <w:r w:rsidRPr="0071176D">
              <w:rPr>
                <w:rFonts w:ascii="標楷體" w:hAnsi="標楷體" w:hint="eastAsia"/>
                <w:kern w:val="0"/>
                <w:szCs w:val="24"/>
              </w:rPr>
              <w:t>之真實性與正確性，並</w:t>
            </w:r>
            <w:r w:rsidRPr="00732380">
              <w:rPr>
                <w:rFonts w:ascii="標楷體" w:hAnsi="標楷體" w:hint="eastAsia"/>
                <w:kern w:val="0"/>
                <w:szCs w:val="24"/>
              </w:rPr>
              <w:t>考量確認</w:t>
            </w:r>
            <w:r w:rsidRPr="0071176D">
              <w:rPr>
                <w:rFonts w:ascii="標楷體" w:hAnsi="標楷體" w:hint="eastAsia"/>
                <w:kern w:val="0"/>
                <w:szCs w:val="24"/>
              </w:rPr>
              <w:t>所得利益所需成本，評估</w:t>
            </w:r>
            <w:r w:rsidR="00AC59EA">
              <w:rPr>
                <w:rFonts w:ascii="標楷體" w:hAnsi="標楷體" w:hint="eastAsia"/>
                <w:kern w:val="0"/>
                <w:szCs w:val="24"/>
              </w:rPr>
              <w:t>協談</w:t>
            </w:r>
            <w:r w:rsidRPr="0071176D">
              <w:rPr>
                <w:rFonts w:ascii="標楷體" w:hAnsi="標楷體" w:hint="eastAsia"/>
                <w:kern w:val="0"/>
                <w:szCs w:val="24"/>
              </w:rPr>
              <w:t>要件及內容，必要時，得召開會議，邀集專家學者共同參與。</w:t>
            </w:r>
          </w:p>
          <w:p w:rsidR="0071176D" w:rsidRPr="0071176D" w:rsidRDefault="00AC59EA" w:rsidP="00AC59EA">
            <w:pPr>
              <w:adjustRightInd w:val="0"/>
              <w:ind w:leftChars="102" w:left="245" w:firstLineChars="200" w:firstLine="480"/>
              <w:jc w:val="both"/>
              <w:textAlignment w:val="baseline"/>
              <w:rPr>
                <w:rFonts w:ascii="標楷體" w:hAnsi="標楷體"/>
                <w:kern w:val="0"/>
                <w:szCs w:val="24"/>
              </w:rPr>
            </w:pPr>
            <w:r>
              <w:rPr>
                <w:rFonts w:ascii="標楷體" w:hAnsi="標楷體" w:hint="eastAsia"/>
                <w:kern w:val="0"/>
                <w:szCs w:val="24"/>
              </w:rPr>
              <w:t>協談</w:t>
            </w:r>
            <w:r w:rsidR="0071176D" w:rsidRPr="0071176D">
              <w:rPr>
                <w:rFonts w:ascii="標楷體" w:hAnsi="標楷體" w:hint="eastAsia"/>
                <w:kern w:val="0"/>
                <w:szCs w:val="24"/>
              </w:rPr>
              <w:t>結果，應作成紀錄。主管機關</w:t>
            </w:r>
            <w:r>
              <w:rPr>
                <w:rFonts w:ascii="標楷體" w:hAnsi="標楷體" w:hint="eastAsia"/>
                <w:kern w:val="0"/>
                <w:szCs w:val="24"/>
              </w:rPr>
              <w:t>得審酌參考協談</w:t>
            </w:r>
            <w:r w:rsidR="0071176D" w:rsidRPr="0071176D">
              <w:rPr>
                <w:rFonts w:ascii="標楷體" w:hAnsi="標楷體" w:hint="eastAsia"/>
                <w:kern w:val="0"/>
                <w:szCs w:val="24"/>
              </w:rPr>
              <w:t>結果，作成行政處分進行追繳。</w:t>
            </w:r>
          </w:p>
        </w:tc>
        <w:tc>
          <w:tcPr>
            <w:tcW w:w="2500" w:type="pct"/>
          </w:tcPr>
          <w:p w:rsidR="0071176D" w:rsidRPr="0071176D" w:rsidRDefault="00AD4173" w:rsidP="0071176D">
            <w:pPr>
              <w:adjustRightInd w:val="0"/>
              <w:ind w:left="480" w:hangingChars="200" w:hanging="480"/>
              <w:jc w:val="both"/>
              <w:textAlignment w:val="baseline"/>
              <w:rPr>
                <w:rFonts w:ascii="標楷體" w:hAnsi="標楷體"/>
                <w:kern w:val="0"/>
                <w:szCs w:val="24"/>
              </w:rPr>
            </w:pPr>
            <w:r>
              <w:rPr>
                <w:rFonts w:ascii="標楷體" w:hAnsi="標楷體" w:hint="eastAsia"/>
                <w:kern w:val="0"/>
                <w:szCs w:val="24"/>
              </w:rPr>
              <w:t>一、</w:t>
            </w:r>
            <w:r w:rsidR="0071176D" w:rsidRPr="0071176D">
              <w:rPr>
                <w:rFonts w:ascii="標楷體" w:hAnsi="標楷體" w:hint="eastAsia"/>
                <w:kern w:val="0"/>
                <w:szCs w:val="24"/>
              </w:rPr>
              <w:t>主管機關</w:t>
            </w:r>
            <w:r w:rsidR="00AC59EA">
              <w:rPr>
                <w:rFonts w:ascii="標楷體" w:hAnsi="標楷體" w:hint="eastAsia"/>
                <w:kern w:val="0"/>
                <w:szCs w:val="24"/>
              </w:rPr>
              <w:t>協談</w:t>
            </w:r>
            <w:r w:rsidR="0071176D" w:rsidRPr="0071176D">
              <w:rPr>
                <w:rFonts w:ascii="標楷體" w:hAnsi="標楷體" w:hint="eastAsia"/>
                <w:kern w:val="0"/>
                <w:szCs w:val="24"/>
              </w:rPr>
              <w:t>之執行方式。</w:t>
            </w:r>
          </w:p>
          <w:p w:rsidR="0071176D" w:rsidRDefault="0071176D" w:rsidP="0071176D">
            <w:pPr>
              <w:adjustRightInd w:val="0"/>
              <w:ind w:left="480" w:hangingChars="200" w:hanging="480"/>
              <w:jc w:val="both"/>
              <w:textAlignment w:val="baseline"/>
              <w:rPr>
                <w:rFonts w:ascii="標楷體" w:hAnsi="標楷體"/>
                <w:kern w:val="0"/>
                <w:szCs w:val="24"/>
              </w:rPr>
            </w:pPr>
            <w:r w:rsidRPr="0071176D">
              <w:rPr>
                <w:rFonts w:ascii="標楷體" w:hAnsi="標楷體" w:hint="eastAsia"/>
                <w:kern w:val="0"/>
                <w:szCs w:val="24"/>
              </w:rPr>
              <w:t>二、</w:t>
            </w:r>
            <w:r w:rsidR="00AC59EA">
              <w:rPr>
                <w:rFonts w:ascii="標楷體" w:hAnsi="標楷體" w:hint="eastAsia"/>
                <w:kern w:val="0"/>
                <w:szCs w:val="24"/>
              </w:rPr>
              <w:t>協談</w:t>
            </w:r>
            <w:r w:rsidRPr="0071176D">
              <w:rPr>
                <w:rFonts w:ascii="標楷體" w:hAnsi="標楷體" w:hint="eastAsia"/>
                <w:kern w:val="0"/>
                <w:szCs w:val="24"/>
              </w:rPr>
              <w:t>結果仍應以行政處分為之，</w:t>
            </w:r>
            <w:proofErr w:type="gramStart"/>
            <w:r w:rsidRPr="0071176D">
              <w:rPr>
                <w:rFonts w:ascii="標楷體" w:hAnsi="標楷體" w:hint="eastAsia"/>
                <w:kern w:val="0"/>
                <w:szCs w:val="24"/>
              </w:rPr>
              <w:t>俾後續倘受處分</w:t>
            </w:r>
            <w:proofErr w:type="gramEnd"/>
            <w:r w:rsidRPr="0071176D">
              <w:rPr>
                <w:rFonts w:ascii="標楷體" w:hAnsi="標楷體" w:hint="eastAsia"/>
                <w:kern w:val="0"/>
                <w:szCs w:val="24"/>
              </w:rPr>
              <w:t>人不遵守</w:t>
            </w:r>
            <w:r w:rsidR="00AC59EA">
              <w:rPr>
                <w:rFonts w:ascii="標楷體" w:hAnsi="標楷體" w:hint="eastAsia"/>
                <w:kern w:val="0"/>
                <w:szCs w:val="24"/>
              </w:rPr>
              <w:t>協談</w:t>
            </w:r>
            <w:r w:rsidRPr="0071176D">
              <w:rPr>
                <w:rFonts w:ascii="標楷體" w:hAnsi="標楷體" w:hint="eastAsia"/>
                <w:kern w:val="0"/>
                <w:szCs w:val="24"/>
              </w:rPr>
              <w:t>內容時，得續依行政執行規定進行追繳。</w:t>
            </w:r>
          </w:p>
          <w:p w:rsidR="00AC59EA" w:rsidRPr="0071176D" w:rsidRDefault="00AC59EA" w:rsidP="0071176D">
            <w:pPr>
              <w:adjustRightInd w:val="0"/>
              <w:ind w:left="480" w:hangingChars="200" w:hanging="480"/>
              <w:jc w:val="both"/>
              <w:textAlignment w:val="baseline"/>
              <w:rPr>
                <w:rFonts w:ascii="標楷體" w:hAnsi="標楷體"/>
                <w:kern w:val="0"/>
                <w:szCs w:val="24"/>
              </w:rPr>
            </w:pPr>
          </w:p>
        </w:tc>
      </w:tr>
      <w:tr w:rsidR="00361158" w:rsidRPr="0071176D" w:rsidTr="00EC5F86">
        <w:trPr>
          <w:trHeight w:val="274"/>
        </w:trPr>
        <w:tc>
          <w:tcPr>
            <w:tcW w:w="2500" w:type="pct"/>
          </w:tcPr>
          <w:p w:rsidR="00361158" w:rsidRPr="0071176D" w:rsidRDefault="00361158" w:rsidP="004D6909">
            <w:pPr>
              <w:adjustRightInd w:val="0"/>
              <w:ind w:leftChars="-2" w:left="245" w:hangingChars="104" w:hanging="250"/>
              <w:jc w:val="both"/>
              <w:textAlignment w:val="baseline"/>
              <w:rPr>
                <w:rFonts w:ascii="標楷體" w:hAnsi="標楷體"/>
                <w:kern w:val="0"/>
                <w:szCs w:val="24"/>
              </w:rPr>
            </w:pPr>
            <w:r>
              <w:rPr>
                <w:rFonts w:ascii="標楷體" w:hAnsi="標楷體" w:hint="eastAsia"/>
                <w:kern w:val="0"/>
                <w:szCs w:val="24"/>
              </w:rPr>
              <w:t xml:space="preserve">第十六條  </w:t>
            </w:r>
            <w:r w:rsidR="00AD4173">
              <w:rPr>
                <w:rFonts w:ascii="標楷體" w:hAnsi="標楷體" w:hint="eastAsia"/>
                <w:kern w:val="0"/>
                <w:szCs w:val="24"/>
              </w:rPr>
              <w:t>因違反</w:t>
            </w:r>
            <w:r w:rsidR="00AD4173" w:rsidRPr="00AD4173">
              <w:rPr>
                <w:rFonts w:ascii="標楷體" w:hAnsi="標楷體" w:hint="eastAsia"/>
                <w:kern w:val="0"/>
                <w:szCs w:val="24"/>
              </w:rPr>
              <w:t>本法義務行為</w:t>
            </w:r>
            <w:r w:rsidR="00AD4173">
              <w:rPr>
                <w:rFonts w:ascii="標楷體" w:hAnsi="標楷體" w:hint="eastAsia"/>
                <w:kern w:val="0"/>
                <w:szCs w:val="24"/>
              </w:rPr>
              <w:t>而有所得利益，其所得利益產生於</w:t>
            </w:r>
            <w:r w:rsidR="004D6909">
              <w:rPr>
                <w:rFonts w:ascii="標楷體" w:hAnsi="標楷體" w:hint="eastAsia"/>
                <w:kern w:val="0"/>
                <w:szCs w:val="24"/>
              </w:rPr>
              <w:t>中華民國</w:t>
            </w:r>
            <w:r w:rsidR="00AD4173">
              <w:rPr>
                <w:rFonts w:ascii="標楷體" w:hAnsi="標楷體" w:hint="eastAsia"/>
                <w:kern w:val="0"/>
                <w:szCs w:val="24"/>
              </w:rPr>
              <w:t>一百零四年二月六日</w:t>
            </w:r>
            <w:r w:rsidR="004D6909">
              <w:rPr>
                <w:rFonts w:ascii="標楷體" w:hAnsi="標楷體" w:hint="eastAsia"/>
                <w:kern w:val="0"/>
                <w:szCs w:val="24"/>
              </w:rPr>
              <w:t>本法</w:t>
            </w:r>
            <w:r w:rsidR="00AD4173">
              <w:rPr>
                <w:rFonts w:ascii="標楷體" w:hAnsi="標楷體" w:hint="eastAsia"/>
                <w:kern w:val="0"/>
                <w:szCs w:val="24"/>
              </w:rPr>
              <w:t>修正施行前者，</w:t>
            </w:r>
            <w:r>
              <w:rPr>
                <w:rFonts w:ascii="標楷體" w:hAnsi="標楷體" w:hint="eastAsia"/>
                <w:kern w:val="0"/>
                <w:szCs w:val="24"/>
              </w:rPr>
              <w:t>主管機關依</w:t>
            </w:r>
            <w:r w:rsidRPr="00361158">
              <w:rPr>
                <w:rFonts w:ascii="標楷體" w:hAnsi="標楷體" w:hint="eastAsia"/>
                <w:kern w:val="0"/>
                <w:szCs w:val="24"/>
              </w:rPr>
              <w:t>行政罰法第十八條第一項</w:t>
            </w:r>
            <w:r>
              <w:rPr>
                <w:rFonts w:ascii="標楷體" w:hAnsi="標楷體" w:hint="eastAsia"/>
                <w:kern w:val="0"/>
                <w:szCs w:val="24"/>
              </w:rPr>
              <w:t>、第二項或第二十條規定</w:t>
            </w:r>
            <w:r w:rsidR="00B75234">
              <w:rPr>
                <w:rFonts w:ascii="標楷體" w:hAnsi="標楷體" w:hint="eastAsia"/>
                <w:kern w:val="0"/>
                <w:szCs w:val="24"/>
              </w:rPr>
              <w:t>加重</w:t>
            </w:r>
            <w:r w:rsidR="00AD4173">
              <w:rPr>
                <w:rFonts w:ascii="標楷體" w:hAnsi="標楷體" w:hint="eastAsia"/>
                <w:kern w:val="0"/>
                <w:szCs w:val="24"/>
              </w:rPr>
              <w:t>裁處</w:t>
            </w:r>
            <w:r w:rsidR="00B75234">
              <w:rPr>
                <w:rFonts w:ascii="標楷體" w:hAnsi="標楷體" w:hint="eastAsia"/>
                <w:kern w:val="0"/>
                <w:szCs w:val="24"/>
              </w:rPr>
              <w:t>或追繳</w:t>
            </w:r>
            <w:r w:rsidRPr="00361158">
              <w:rPr>
                <w:rFonts w:ascii="標楷體" w:hAnsi="標楷體" w:hint="eastAsia"/>
                <w:kern w:val="0"/>
                <w:szCs w:val="24"/>
              </w:rPr>
              <w:t>。</w:t>
            </w:r>
          </w:p>
        </w:tc>
        <w:tc>
          <w:tcPr>
            <w:tcW w:w="2500" w:type="pct"/>
          </w:tcPr>
          <w:p w:rsidR="00361158" w:rsidRDefault="00AD4173" w:rsidP="00B75234">
            <w:pPr>
              <w:adjustRightInd w:val="0"/>
              <w:jc w:val="both"/>
              <w:textAlignment w:val="baseline"/>
              <w:rPr>
                <w:rFonts w:ascii="標楷體" w:hAnsi="標楷體"/>
                <w:kern w:val="0"/>
                <w:szCs w:val="24"/>
              </w:rPr>
            </w:pPr>
            <w:r>
              <w:rPr>
                <w:rFonts w:ascii="標楷體" w:hAnsi="標楷體" w:hint="eastAsia"/>
                <w:kern w:val="0"/>
                <w:szCs w:val="24"/>
              </w:rPr>
              <w:t>對本法</w:t>
            </w:r>
            <w:r w:rsidR="00B75234">
              <w:rPr>
                <w:rFonts w:ascii="標楷體" w:hAnsi="標楷體" w:hint="eastAsia"/>
                <w:kern w:val="0"/>
                <w:szCs w:val="24"/>
              </w:rPr>
              <w:t>修正施行前</w:t>
            </w:r>
            <w:r>
              <w:rPr>
                <w:rFonts w:ascii="標楷體" w:hAnsi="標楷體" w:hint="eastAsia"/>
                <w:kern w:val="0"/>
                <w:szCs w:val="24"/>
              </w:rPr>
              <w:t>期間</w:t>
            </w:r>
            <w:r w:rsidR="00B75234">
              <w:rPr>
                <w:rFonts w:ascii="標楷體" w:hAnsi="標楷體" w:hint="eastAsia"/>
                <w:kern w:val="0"/>
                <w:szCs w:val="24"/>
              </w:rPr>
              <w:t>之所得利益，其追繳應依行政罰法規定辦理。</w:t>
            </w:r>
          </w:p>
          <w:p w:rsidR="00B75234" w:rsidRPr="00B75234" w:rsidRDefault="00B75234" w:rsidP="00B75234">
            <w:pPr>
              <w:adjustRightInd w:val="0"/>
              <w:jc w:val="both"/>
              <w:textAlignment w:val="baseline"/>
              <w:rPr>
                <w:rFonts w:ascii="標楷體" w:hAnsi="標楷體"/>
                <w:kern w:val="0"/>
                <w:szCs w:val="24"/>
              </w:rPr>
            </w:pPr>
          </w:p>
        </w:tc>
      </w:tr>
      <w:tr w:rsidR="0071176D" w:rsidRPr="0071176D" w:rsidTr="00EC5F86">
        <w:tc>
          <w:tcPr>
            <w:tcW w:w="2500" w:type="pct"/>
          </w:tcPr>
          <w:p w:rsidR="0071176D" w:rsidRPr="0071176D" w:rsidRDefault="0071176D" w:rsidP="0071176D">
            <w:pPr>
              <w:adjustRightInd w:val="0"/>
              <w:ind w:leftChars="-2" w:left="245" w:hangingChars="104" w:hanging="250"/>
              <w:jc w:val="both"/>
              <w:textAlignment w:val="baseline"/>
              <w:rPr>
                <w:rFonts w:ascii="標楷體" w:hAnsi="標楷體"/>
                <w:kern w:val="0"/>
                <w:szCs w:val="24"/>
              </w:rPr>
            </w:pPr>
            <w:r w:rsidRPr="0071176D">
              <w:rPr>
                <w:rFonts w:ascii="標楷體" w:hAnsi="標楷體"/>
                <w:kern w:val="0"/>
                <w:szCs w:val="24"/>
              </w:rPr>
              <w:t>第</w:t>
            </w:r>
            <w:r w:rsidRPr="0071176D">
              <w:rPr>
                <w:rFonts w:ascii="標楷體" w:hAnsi="標楷體" w:hint="eastAsia"/>
                <w:kern w:val="0"/>
                <w:szCs w:val="24"/>
              </w:rPr>
              <w:t>十</w:t>
            </w:r>
            <w:r w:rsidR="00E31A3A">
              <w:rPr>
                <w:rFonts w:ascii="標楷體" w:hAnsi="標楷體" w:hint="eastAsia"/>
                <w:kern w:val="0"/>
                <w:szCs w:val="24"/>
              </w:rPr>
              <w:t>七</w:t>
            </w:r>
            <w:r w:rsidRPr="0071176D">
              <w:rPr>
                <w:rFonts w:ascii="標楷體" w:hAnsi="標楷體"/>
                <w:kern w:val="0"/>
                <w:szCs w:val="24"/>
              </w:rPr>
              <w:t>條　本</w:t>
            </w:r>
            <w:r w:rsidRPr="0071176D">
              <w:rPr>
                <w:rFonts w:ascii="標楷體" w:hAnsi="標楷體" w:hint="eastAsia"/>
                <w:kern w:val="0"/>
                <w:szCs w:val="24"/>
              </w:rPr>
              <w:t>辦法</w:t>
            </w:r>
            <w:r w:rsidRPr="0071176D">
              <w:rPr>
                <w:rFonts w:ascii="標楷體" w:hAnsi="標楷體"/>
                <w:kern w:val="0"/>
                <w:szCs w:val="24"/>
              </w:rPr>
              <w:t>自發布日施行。</w:t>
            </w:r>
          </w:p>
        </w:tc>
        <w:tc>
          <w:tcPr>
            <w:tcW w:w="2500" w:type="pct"/>
          </w:tcPr>
          <w:p w:rsidR="0071176D" w:rsidRPr="0071176D" w:rsidRDefault="0071176D" w:rsidP="0071176D">
            <w:pPr>
              <w:adjustRightInd w:val="0"/>
              <w:jc w:val="both"/>
              <w:textAlignment w:val="baseline"/>
              <w:rPr>
                <w:rFonts w:ascii="標楷體" w:hAnsi="標楷體"/>
                <w:kern w:val="0"/>
                <w:szCs w:val="24"/>
              </w:rPr>
            </w:pPr>
            <w:r w:rsidRPr="0071176D">
              <w:rPr>
                <w:rFonts w:ascii="標楷體" w:hAnsi="標楷體" w:hint="eastAsia"/>
                <w:kern w:val="0"/>
                <w:szCs w:val="24"/>
              </w:rPr>
              <w:t>本辦法施行日期。</w:t>
            </w:r>
          </w:p>
        </w:tc>
      </w:tr>
    </w:tbl>
    <w:p w:rsidR="0071176D" w:rsidRPr="0071176D" w:rsidRDefault="0071176D" w:rsidP="0071176D">
      <w:pPr>
        <w:widowControl/>
        <w:rPr>
          <w:rFonts w:ascii="標楷體" w:hAnsi="標楷體"/>
          <w:b/>
          <w:kern w:val="0"/>
          <w:szCs w:val="24"/>
        </w:rPr>
      </w:pPr>
    </w:p>
    <w:p w:rsidR="00370F80" w:rsidRPr="005076EC" w:rsidRDefault="00370F80" w:rsidP="00565F8E">
      <w:pPr>
        <w:pStyle w:val="a3"/>
        <w:ind w:leftChars="400" w:left="1600" w:hangingChars="200" w:hanging="640"/>
        <w:rPr>
          <w:sz w:val="32"/>
        </w:rPr>
      </w:pPr>
    </w:p>
    <w:sectPr w:rsidR="00370F80" w:rsidRPr="005076EC">
      <w:footerReference w:type="default" r:id="rId9"/>
      <w:pgSz w:w="11906" w:h="16838" w:code="9"/>
      <w:pgMar w:top="1418" w:right="1418" w:bottom="1418" w:left="1418" w:header="1418"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6C" w:rsidRDefault="005D006C">
      <w:r>
        <w:separator/>
      </w:r>
    </w:p>
  </w:endnote>
  <w:endnote w:type="continuationSeparator" w:id="0">
    <w:p w:rsidR="005D006C" w:rsidRDefault="005D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CB" w:rsidRDefault="000A2ACB">
    <w:pPr>
      <w:pStyle w:val="ad"/>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1864DE">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1864DE">
      <w:rPr>
        <w:noProof/>
        <w:kern w:val="0"/>
      </w:rPr>
      <w:t>11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6C" w:rsidRDefault="005D006C">
      <w:r>
        <w:separator/>
      </w:r>
    </w:p>
  </w:footnote>
  <w:footnote w:type="continuationSeparator" w:id="0">
    <w:p w:rsidR="005D006C" w:rsidRDefault="005D0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40E"/>
    <w:multiLevelType w:val="hybridMultilevel"/>
    <w:tmpl w:val="73DC18E0"/>
    <w:lvl w:ilvl="0" w:tplc="3CF4D3F2">
      <w:start w:val="1"/>
      <w:numFmt w:val="taiwaneseCountingThousand"/>
      <w:lvlText w:val="%1、"/>
      <w:lvlJc w:val="left"/>
      <w:pPr>
        <w:ind w:left="629" w:hanging="36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
    <w:nsid w:val="20FE6298"/>
    <w:multiLevelType w:val="hybridMultilevel"/>
    <w:tmpl w:val="558406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DD1B0C"/>
    <w:multiLevelType w:val="multilevel"/>
    <w:tmpl w:val="3A761558"/>
    <w:lvl w:ilvl="0">
      <w:start w:val="1"/>
      <w:numFmt w:val="taiwaneseCountingThousand"/>
      <w:suff w:val="nothing"/>
      <w:lvlText w:val="%1、"/>
      <w:lvlJc w:val="left"/>
      <w:pPr>
        <w:tabs>
          <w:tab w:val="num" w:pos="720"/>
        </w:tabs>
        <w:ind w:left="1020" w:hanging="680"/>
      </w:pPr>
    </w:lvl>
    <w:lvl w:ilvl="1">
      <w:start w:val="1"/>
      <w:numFmt w:val="taiwaneseCountingThousand"/>
      <w:suff w:val="nothing"/>
      <w:lvlText w:val="︵%2︶"/>
      <w:lvlJc w:val="left"/>
      <w:pPr>
        <w:tabs>
          <w:tab w:val="num" w:pos="992"/>
        </w:tabs>
        <w:ind w:left="1700" w:hanging="1020"/>
      </w:pPr>
    </w:lvl>
    <w:lvl w:ilvl="2">
      <w:start w:val="1"/>
      <w:numFmt w:val="decimalFullWidth"/>
      <w:suff w:val="nothing"/>
      <w:lvlText w:val="%3、"/>
      <w:lvlJc w:val="left"/>
      <w:pPr>
        <w:tabs>
          <w:tab w:val="num" w:pos="1418"/>
        </w:tabs>
        <w:ind w:left="2040" w:hanging="680"/>
      </w:pPr>
    </w:lvl>
    <w:lvl w:ilvl="3">
      <w:start w:val="1"/>
      <w:numFmt w:val="decimalFullWidth"/>
      <w:suff w:val="nothing"/>
      <w:lvlText w:val="︵%4︶"/>
      <w:lvlJc w:val="left"/>
      <w:pPr>
        <w:tabs>
          <w:tab w:val="num" w:pos="1984"/>
        </w:tabs>
        <w:ind w:left="2720" w:hanging="1020"/>
      </w:pPr>
    </w:lvl>
    <w:lvl w:ilvl="4">
      <w:start w:val="1"/>
      <w:numFmt w:val="ideographTraditional"/>
      <w:suff w:val="nothing"/>
      <w:lvlText w:val="%5、"/>
      <w:lvlJc w:val="left"/>
      <w:pPr>
        <w:tabs>
          <w:tab w:val="num" w:pos="2551"/>
        </w:tabs>
        <w:ind w:left="3060" w:hanging="680"/>
      </w:pPr>
    </w:lvl>
    <w:lvl w:ilvl="5">
      <w:start w:val="1"/>
      <w:numFmt w:val="ideographTraditional"/>
      <w:suff w:val="nothing"/>
      <w:lvlText w:val="︵%6︶"/>
      <w:lvlJc w:val="left"/>
      <w:pPr>
        <w:tabs>
          <w:tab w:val="num" w:pos="3260"/>
        </w:tabs>
        <w:ind w:left="3740" w:hanging="1020"/>
      </w:pPr>
    </w:lvl>
    <w:lvl w:ilvl="6">
      <w:start w:val="1"/>
      <w:numFmt w:val="ideographZodiac"/>
      <w:suff w:val="nothing"/>
      <w:lvlText w:val="%7、"/>
      <w:lvlJc w:val="left"/>
      <w:pPr>
        <w:tabs>
          <w:tab w:val="num" w:pos="3827"/>
        </w:tabs>
        <w:ind w:left="4080" w:hanging="680"/>
      </w:pPr>
    </w:lvl>
    <w:lvl w:ilvl="7">
      <w:start w:val="1"/>
      <w:numFmt w:val="ideographZodiac"/>
      <w:suff w:val="nothing"/>
      <w:lvlText w:val="︵%8︶"/>
      <w:lvlJc w:val="left"/>
      <w:pPr>
        <w:tabs>
          <w:tab w:val="num" w:pos="4394"/>
        </w:tabs>
        <w:ind w:left="4760" w:hanging="1020"/>
      </w:pPr>
    </w:lvl>
    <w:lvl w:ilvl="8">
      <w:start w:val="1"/>
      <w:numFmt w:val="decimalFullWidth"/>
      <w:suff w:val="nothing"/>
      <w:lvlText w:val="%9︶"/>
      <w:lvlJc w:val="left"/>
      <w:pPr>
        <w:tabs>
          <w:tab w:val="num" w:pos="5102"/>
        </w:tabs>
        <w:ind w:left="5100" w:hanging="680"/>
      </w:pPr>
    </w:lvl>
  </w:abstractNum>
  <w:abstractNum w:abstractNumId="3">
    <w:nsid w:val="460566A4"/>
    <w:multiLevelType w:val="multilevel"/>
    <w:tmpl w:val="9D042B82"/>
    <w:lvl w:ilvl="0">
      <w:start w:val="1"/>
      <w:numFmt w:val="taiwaneseCountingThousand"/>
      <w:suff w:val="nothing"/>
      <w:lvlText w:val="%1、"/>
      <w:lvlJc w:val="left"/>
      <w:pPr>
        <w:tabs>
          <w:tab w:val="num" w:pos="720"/>
        </w:tabs>
        <w:ind w:left="1020" w:hanging="680"/>
      </w:pPr>
    </w:lvl>
    <w:lvl w:ilvl="1">
      <w:start w:val="1"/>
      <w:numFmt w:val="taiwaneseCountingThousand"/>
      <w:suff w:val="nothing"/>
      <w:lvlText w:val="︵%2︶"/>
      <w:lvlJc w:val="left"/>
      <w:pPr>
        <w:tabs>
          <w:tab w:val="num" w:pos="992"/>
        </w:tabs>
        <w:ind w:left="1700" w:hanging="1020"/>
      </w:pPr>
    </w:lvl>
    <w:lvl w:ilvl="2">
      <w:start w:val="1"/>
      <w:numFmt w:val="decimalFullWidth"/>
      <w:suff w:val="nothing"/>
      <w:lvlText w:val="%3、"/>
      <w:lvlJc w:val="left"/>
      <w:pPr>
        <w:tabs>
          <w:tab w:val="num" w:pos="1418"/>
        </w:tabs>
        <w:ind w:left="2040" w:hanging="680"/>
      </w:pPr>
    </w:lvl>
    <w:lvl w:ilvl="3">
      <w:start w:val="1"/>
      <w:numFmt w:val="decimalFullWidth"/>
      <w:suff w:val="nothing"/>
      <w:lvlText w:val="︵%4︶"/>
      <w:lvlJc w:val="left"/>
      <w:pPr>
        <w:tabs>
          <w:tab w:val="num" w:pos="1984"/>
        </w:tabs>
        <w:ind w:left="2720" w:hanging="1020"/>
      </w:pPr>
    </w:lvl>
    <w:lvl w:ilvl="4">
      <w:start w:val="1"/>
      <w:numFmt w:val="ideographTraditional"/>
      <w:suff w:val="nothing"/>
      <w:lvlText w:val="%5、"/>
      <w:lvlJc w:val="left"/>
      <w:pPr>
        <w:tabs>
          <w:tab w:val="num" w:pos="2551"/>
        </w:tabs>
        <w:ind w:left="3060" w:hanging="680"/>
      </w:pPr>
    </w:lvl>
    <w:lvl w:ilvl="5">
      <w:start w:val="1"/>
      <w:numFmt w:val="ideographTraditional"/>
      <w:suff w:val="nothing"/>
      <w:lvlText w:val="︵%6︶"/>
      <w:lvlJc w:val="left"/>
      <w:pPr>
        <w:tabs>
          <w:tab w:val="num" w:pos="3260"/>
        </w:tabs>
        <w:ind w:left="3740" w:hanging="1020"/>
      </w:pPr>
    </w:lvl>
    <w:lvl w:ilvl="6">
      <w:start w:val="1"/>
      <w:numFmt w:val="ideographZodiac"/>
      <w:suff w:val="nothing"/>
      <w:lvlText w:val="%7、"/>
      <w:lvlJc w:val="left"/>
      <w:pPr>
        <w:tabs>
          <w:tab w:val="num" w:pos="3827"/>
        </w:tabs>
        <w:ind w:left="4080" w:hanging="680"/>
      </w:pPr>
    </w:lvl>
    <w:lvl w:ilvl="7">
      <w:start w:val="1"/>
      <w:numFmt w:val="ideographZodiac"/>
      <w:suff w:val="nothing"/>
      <w:lvlText w:val="︵%8︶"/>
      <w:lvlJc w:val="left"/>
      <w:pPr>
        <w:tabs>
          <w:tab w:val="num" w:pos="4394"/>
        </w:tabs>
        <w:ind w:left="4760" w:hanging="1020"/>
      </w:pPr>
    </w:lvl>
    <w:lvl w:ilvl="8">
      <w:start w:val="1"/>
      <w:numFmt w:val="decimalFullWidth"/>
      <w:suff w:val="nothing"/>
      <w:lvlText w:val="%9︶"/>
      <w:lvlJc w:val="left"/>
      <w:pPr>
        <w:tabs>
          <w:tab w:val="num" w:pos="5102"/>
        </w:tabs>
        <w:ind w:left="5100" w:hanging="680"/>
      </w:pPr>
    </w:lvl>
  </w:abstractNum>
  <w:abstractNum w:abstractNumId="4">
    <w:nsid w:val="48467296"/>
    <w:multiLevelType w:val="hybridMultilevel"/>
    <w:tmpl w:val="B97AF44E"/>
    <w:lvl w:ilvl="0" w:tplc="63DC66D0">
      <w:start w:val="1"/>
      <w:numFmt w:val="taiwaneseCountingThousand"/>
      <w:lvlText w:val="%1、"/>
      <w:lvlJc w:val="left"/>
      <w:pPr>
        <w:ind w:left="353" w:hanging="43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5">
    <w:nsid w:val="57E8197B"/>
    <w:multiLevelType w:val="hybridMultilevel"/>
    <w:tmpl w:val="73026DE2"/>
    <w:lvl w:ilvl="0" w:tplc="9F5895C6">
      <w:start w:val="1"/>
      <w:numFmt w:val="taiwaneseCountingThousand"/>
      <w:lvlText w:val="%1、"/>
      <w:lvlJc w:val="left"/>
      <w:pPr>
        <w:ind w:left="629" w:hanging="36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6">
    <w:nsid w:val="65331EF3"/>
    <w:multiLevelType w:val="multilevel"/>
    <w:tmpl w:val="C1BA81FA"/>
    <w:lvl w:ilvl="0">
      <w:start w:val="1"/>
      <w:numFmt w:val="taiwaneseCountingThousand"/>
      <w:suff w:val="nothing"/>
      <w:lvlText w:val="%1、"/>
      <w:lvlJc w:val="left"/>
      <w:pPr>
        <w:tabs>
          <w:tab w:val="num" w:pos="720"/>
        </w:tabs>
        <w:ind w:left="1020" w:hanging="680"/>
      </w:pPr>
    </w:lvl>
    <w:lvl w:ilvl="1">
      <w:start w:val="1"/>
      <w:numFmt w:val="taiwaneseCountingThousand"/>
      <w:suff w:val="nothing"/>
      <w:lvlText w:val="︵%2︶"/>
      <w:lvlJc w:val="left"/>
      <w:pPr>
        <w:tabs>
          <w:tab w:val="num" w:pos="992"/>
        </w:tabs>
        <w:ind w:left="1700" w:hanging="1020"/>
      </w:pPr>
    </w:lvl>
    <w:lvl w:ilvl="2">
      <w:start w:val="1"/>
      <w:numFmt w:val="decimalFullWidth"/>
      <w:suff w:val="nothing"/>
      <w:lvlText w:val="%3、"/>
      <w:lvlJc w:val="left"/>
      <w:pPr>
        <w:tabs>
          <w:tab w:val="num" w:pos="1418"/>
        </w:tabs>
        <w:ind w:left="2040" w:hanging="680"/>
      </w:pPr>
    </w:lvl>
    <w:lvl w:ilvl="3">
      <w:start w:val="1"/>
      <w:numFmt w:val="decimalFullWidth"/>
      <w:suff w:val="nothing"/>
      <w:lvlText w:val="︵%4︶"/>
      <w:lvlJc w:val="left"/>
      <w:pPr>
        <w:tabs>
          <w:tab w:val="num" w:pos="1984"/>
        </w:tabs>
        <w:ind w:left="2720" w:hanging="1020"/>
      </w:pPr>
    </w:lvl>
    <w:lvl w:ilvl="4">
      <w:start w:val="1"/>
      <w:numFmt w:val="ideographTraditional"/>
      <w:suff w:val="nothing"/>
      <w:lvlText w:val="%5、"/>
      <w:lvlJc w:val="left"/>
      <w:pPr>
        <w:tabs>
          <w:tab w:val="num" w:pos="2551"/>
        </w:tabs>
        <w:ind w:left="3060" w:hanging="680"/>
      </w:pPr>
    </w:lvl>
    <w:lvl w:ilvl="5">
      <w:start w:val="1"/>
      <w:numFmt w:val="ideographTraditional"/>
      <w:suff w:val="nothing"/>
      <w:lvlText w:val="︵%6︶"/>
      <w:lvlJc w:val="left"/>
      <w:pPr>
        <w:tabs>
          <w:tab w:val="num" w:pos="3260"/>
        </w:tabs>
        <w:ind w:left="3740" w:hanging="1020"/>
      </w:pPr>
    </w:lvl>
    <w:lvl w:ilvl="6">
      <w:start w:val="1"/>
      <w:numFmt w:val="ideographZodiac"/>
      <w:suff w:val="nothing"/>
      <w:lvlText w:val="%7、"/>
      <w:lvlJc w:val="left"/>
      <w:pPr>
        <w:tabs>
          <w:tab w:val="num" w:pos="3827"/>
        </w:tabs>
        <w:ind w:left="4080" w:hanging="680"/>
      </w:pPr>
    </w:lvl>
    <w:lvl w:ilvl="7">
      <w:start w:val="1"/>
      <w:numFmt w:val="ideographZodiac"/>
      <w:suff w:val="nothing"/>
      <w:lvlText w:val="︵%8︶"/>
      <w:lvlJc w:val="left"/>
      <w:pPr>
        <w:tabs>
          <w:tab w:val="num" w:pos="4394"/>
        </w:tabs>
        <w:ind w:left="4760" w:hanging="1020"/>
      </w:pPr>
    </w:lvl>
    <w:lvl w:ilvl="8">
      <w:start w:val="1"/>
      <w:numFmt w:val="decimalFullWidth"/>
      <w:suff w:val="nothing"/>
      <w:lvlText w:val="%9︶"/>
      <w:lvlJc w:val="left"/>
      <w:pPr>
        <w:tabs>
          <w:tab w:val="num" w:pos="5102"/>
        </w:tabs>
        <w:ind w:left="5100" w:hanging="680"/>
      </w:pPr>
    </w:lvl>
  </w:abstractNum>
  <w:abstractNum w:abstractNumId="7">
    <w:nsid w:val="6FCB17FD"/>
    <w:multiLevelType w:val="hybridMultilevel"/>
    <w:tmpl w:val="B97AF44E"/>
    <w:lvl w:ilvl="0" w:tplc="63DC66D0">
      <w:start w:val="1"/>
      <w:numFmt w:val="taiwaneseCountingThousand"/>
      <w:lvlText w:val="%1、"/>
      <w:lvlJc w:val="left"/>
      <w:pPr>
        <w:ind w:left="353" w:hanging="43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8">
    <w:nsid w:val="733F10A7"/>
    <w:multiLevelType w:val="hybridMultilevel"/>
    <w:tmpl w:val="07E085BA"/>
    <w:lvl w:ilvl="0" w:tplc="0409000F">
      <w:start w:val="1"/>
      <w:numFmt w:val="decimal"/>
      <w:lvlText w:val="%1."/>
      <w:lvlJc w:val="left"/>
      <w:pPr>
        <w:tabs>
          <w:tab w:val="num" w:pos="820"/>
        </w:tabs>
        <w:ind w:left="820" w:hanging="480"/>
      </w:p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9">
    <w:nsid w:val="740D5620"/>
    <w:multiLevelType w:val="multilevel"/>
    <w:tmpl w:val="3CD2945E"/>
    <w:lvl w:ilvl="0">
      <w:start w:val="1"/>
      <w:numFmt w:val="taiwaneseCountingThousand"/>
      <w:suff w:val="nothing"/>
      <w:lvlText w:val="%1、"/>
      <w:lvlJc w:val="left"/>
      <w:pPr>
        <w:ind w:left="964" w:hanging="624"/>
      </w:pPr>
      <w:rPr>
        <w:rFonts w:hint="eastAsia"/>
      </w:rPr>
    </w:lvl>
    <w:lvl w:ilvl="1">
      <w:start w:val="1"/>
      <w:numFmt w:val="taiwaneseCountingThousand"/>
      <w:suff w:val="nothing"/>
      <w:lvlText w:val="(%2)、"/>
      <w:lvlJc w:val="left"/>
      <w:pPr>
        <w:ind w:left="1474" w:hanging="510"/>
      </w:pPr>
      <w:rPr>
        <w:rFonts w:hint="eastAsia"/>
      </w:rPr>
    </w:lvl>
    <w:lvl w:ilvl="2">
      <w:start w:val="1"/>
      <w:numFmt w:val="decimalFullWidth"/>
      <w:suff w:val="nothing"/>
      <w:lvlText w:val="%3、"/>
      <w:lvlJc w:val="left"/>
      <w:pPr>
        <w:ind w:left="1644" w:hanging="623"/>
      </w:pPr>
      <w:rPr>
        <w:rFonts w:hint="eastAsia"/>
      </w:rPr>
    </w:lvl>
    <w:lvl w:ilvl="3">
      <w:start w:val="1"/>
      <w:numFmt w:val="decimalFullWidth"/>
      <w:suff w:val="nothing"/>
      <w:lvlText w:val="(%4)、"/>
      <w:lvlJc w:val="left"/>
      <w:pPr>
        <w:ind w:left="2126" w:hanging="538"/>
      </w:pPr>
      <w:rPr>
        <w:rFonts w:hint="eastAsia"/>
      </w:rPr>
    </w:lvl>
    <w:lvl w:ilvl="4">
      <w:start w:val="1"/>
      <w:numFmt w:val="ideographTraditional"/>
      <w:suff w:val="nothing"/>
      <w:lvlText w:val="%5、"/>
      <w:lvlJc w:val="left"/>
      <w:pPr>
        <w:ind w:left="2722" w:hanging="624"/>
      </w:pPr>
      <w:rPr>
        <w:rFonts w:hint="eastAsia"/>
      </w:rPr>
    </w:lvl>
    <w:lvl w:ilvl="5">
      <w:start w:val="1"/>
      <w:numFmt w:val="ideographTraditional"/>
      <w:suff w:val="nothing"/>
      <w:lvlText w:val="(%6)、"/>
      <w:lvlJc w:val="left"/>
      <w:pPr>
        <w:ind w:left="3260" w:hanging="540"/>
      </w:pPr>
      <w:rPr>
        <w:rFonts w:hint="eastAsia"/>
      </w:rPr>
    </w:lvl>
    <w:lvl w:ilvl="6">
      <w:start w:val="1"/>
      <w:numFmt w:val="ideographZodiac"/>
      <w:suff w:val="nothing"/>
      <w:lvlText w:val="%7、"/>
      <w:lvlJc w:val="left"/>
      <w:pPr>
        <w:ind w:left="3912" w:hanging="623"/>
      </w:pPr>
      <w:rPr>
        <w:rFonts w:hint="eastAsia"/>
      </w:rPr>
    </w:lvl>
    <w:lvl w:ilvl="7">
      <w:start w:val="1"/>
      <w:numFmt w:val="ideographZodiac"/>
      <w:suff w:val="nothing"/>
      <w:lvlText w:val="(%8)、"/>
      <w:lvlJc w:val="left"/>
      <w:pPr>
        <w:ind w:left="4423" w:hanging="511"/>
      </w:pPr>
      <w:rPr>
        <w:rFonts w:hint="eastAsia"/>
      </w:rPr>
    </w:lvl>
    <w:lvl w:ilvl="8">
      <w:start w:val="1"/>
      <w:numFmt w:val="decimalFullWidth"/>
      <w:suff w:val="nothing"/>
      <w:lvlText w:val="%9)、"/>
      <w:lvlJc w:val="left"/>
      <w:pPr>
        <w:ind w:left="4961" w:hanging="425"/>
      </w:pPr>
      <w:rPr>
        <w:rFonts w:hint="eastAsia"/>
      </w:rPr>
    </w:lvl>
  </w:abstractNum>
  <w:num w:numId="1">
    <w:abstractNumId w:val="2"/>
  </w:num>
  <w:num w:numId="2">
    <w:abstractNumId w:val="3"/>
  </w:num>
  <w:num w:numId="3">
    <w:abstractNumId w:val="6"/>
  </w:num>
  <w:num w:numId="4">
    <w:abstractNumId w:val="9"/>
  </w:num>
  <w:num w:numId="5">
    <w:abstractNumId w:val="6"/>
  </w:num>
  <w:num w:numId="6">
    <w:abstractNumId w:val="6"/>
  </w:num>
  <w:num w:numId="7">
    <w:abstractNumId w:val="6"/>
  </w:num>
  <w:num w:numId="8">
    <w:abstractNumId w:val="8"/>
  </w:num>
  <w:num w:numId="9">
    <w:abstractNumId w:val="6"/>
  </w:num>
  <w:num w:numId="10">
    <w:abstractNumId w:val="1"/>
  </w:num>
  <w:num w:numId="11">
    <w:abstractNumId w:val="4"/>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isplayHorizontalDrawingGridEvery w:val="0"/>
  <w:displayVerticalDrawingGridEvery w:val="2"/>
  <w:characterSpacingControl w:val="doNotCompress"/>
  <w:hdrShapeDefaults>
    <o:shapedefaults v:ext="edit" spidmax="2049" style="mso-position-horizontal-relative:char" fill="f" fillcolor="white" stroke="f">
      <v:fill color="white" on="f"/>
      <v:stroke dashstyle="1 1" endcap="round" on="f"/>
      <v:textbox inset=".5mm,.3mm,.5mm,.3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BD"/>
    <w:rsid w:val="00022D22"/>
    <w:rsid w:val="00030836"/>
    <w:rsid w:val="00043595"/>
    <w:rsid w:val="00046F54"/>
    <w:rsid w:val="00062C59"/>
    <w:rsid w:val="0006612C"/>
    <w:rsid w:val="00071BF7"/>
    <w:rsid w:val="0008469B"/>
    <w:rsid w:val="000947D8"/>
    <w:rsid w:val="00097888"/>
    <w:rsid w:val="000A2ACB"/>
    <w:rsid w:val="000B42B4"/>
    <w:rsid w:val="000C53A5"/>
    <w:rsid w:val="000F2D4D"/>
    <w:rsid w:val="000F2D7E"/>
    <w:rsid w:val="00103BC9"/>
    <w:rsid w:val="001333BD"/>
    <w:rsid w:val="001373FA"/>
    <w:rsid w:val="00143775"/>
    <w:rsid w:val="001446B3"/>
    <w:rsid w:val="0015374A"/>
    <w:rsid w:val="00167B46"/>
    <w:rsid w:val="001864DE"/>
    <w:rsid w:val="00186AFF"/>
    <w:rsid w:val="001927D0"/>
    <w:rsid w:val="001B0AB4"/>
    <w:rsid w:val="001C7A08"/>
    <w:rsid w:val="001D2D74"/>
    <w:rsid w:val="001D3191"/>
    <w:rsid w:val="001F549C"/>
    <w:rsid w:val="00202036"/>
    <w:rsid w:val="0025170B"/>
    <w:rsid w:val="00263E47"/>
    <w:rsid w:val="00283AF3"/>
    <w:rsid w:val="002938DE"/>
    <w:rsid w:val="002A48EE"/>
    <w:rsid w:val="002B536C"/>
    <w:rsid w:val="002C6E0E"/>
    <w:rsid w:val="002C7B8D"/>
    <w:rsid w:val="002E1F93"/>
    <w:rsid w:val="002E643A"/>
    <w:rsid w:val="002F12BD"/>
    <w:rsid w:val="00307B4D"/>
    <w:rsid w:val="00315FCB"/>
    <w:rsid w:val="00332B06"/>
    <w:rsid w:val="00361158"/>
    <w:rsid w:val="0037032F"/>
    <w:rsid w:val="00370F80"/>
    <w:rsid w:val="00373167"/>
    <w:rsid w:val="00375246"/>
    <w:rsid w:val="0038168E"/>
    <w:rsid w:val="00397C23"/>
    <w:rsid w:val="003A5AE7"/>
    <w:rsid w:val="003B1631"/>
    <w:rsid w:val="003C1BB5"/>
    <w:rsid w:val="003E20A5"/>
    <w:rsid w:val="003E3F8E"/>
    <w:rsid w:val="004016D2"/>
    <w:rsid w:val="00415BCB"/>
    <w:rsid w:val="004178BE"/>
    <w:rsid w:val="0044798F"/>
    <w:rsid w:val="00472940"/>
    <w:rsid w:val="004807F2"/>
    <w:rsid w:val="00485F5F"/>
    <w:rsid w:val="0049007E"/>
    <w:rsid w:val="004D05B9"/>
    <w:rsid w:val="004D6909"/>
    <w:rsid w:val="004E2815"/>
    <w:rsid w:val="004F1645"/>
    <w:rsid w:val="004F1F91"/>
    <w:rsid w:val="005076EC"/>
    <w:rsid w:val="005172D8"/>
    <w:rsid w:val="00517616"/>
    <w:rsid w:val="005303A1"/>
    <w:rsid w:val="005413FA"/>
    <w:rsid w:val="0054153F"/>
    <w:rsid w:val="00544A55"/>
    <w:rsid w:val="005507DA"/>
    <w:rsid w:val="00565F8E"/>
    <w:rsid w:val="0057724E"/>
    <w:rsid w:val="0058469E"/>
    <w:rsid w:val="0058783B"/>
    <w:rsid w:val="005A0232"/>
    <w:rsid w:val="005B5BAD"/>
    <w:rsid w:val="005C4B9C"/>
    <w:rsid w:val="005C71B5"/>
    <w:rsid w:val="005D006C"/>
    <w:rsid w:val="005F1BE4"/>
    <w:rsid w:val="00601D2B"/>
    <w:rsid w:val="006358CB"/>
    <w:rsid w:val="0066247E"/>
    <w:rsid w:val="00673FD6"/>
    <w:rsid w:val="006776FF"/>
    <w:rsid w:val="00687CA1"/>
    <w:rsid w:val="006B2A10"/>
    <w:rsid w:val="006C402F"/>
    <w:rsid w:val="006D1E21"/>
    <w:rsid w:val="007046B6"/>
    <w:rsid w:val="0071176D"/>
    <w:rsid w:val="00732380"/>
    <w:rsid w:val="00732B0B"/>
    <w:rsid w:val="0074380F"/>
    <w:rsid w:val="007464DE"/>
    <w:rsid w:val="007534C6"/>
    <w:rsid w:val="00770DBF"/>
    <w:rsid w:val="00775D28"/>
    <w:rsid w:val="00777063"/>
    <w:rsid w:val="007D1C25"/>
    <w:rsid w:val="007D6246"/>
    <w:rsid w:val="007E0D9F"/>
    <w:rsid w:val="007F1EC8"/>
    <w:rsid w:val="008028F5"/>
    <w:rsid w:val="0084695E"/>
    <w:rsid w:val="0085094C"/>
    <w:rsid w:val="008554BF"/>
    <w:rsid w:val="00866220"/>
    <w:rsid w:val="008839CD"/>
    <w:rsid w:val="008861B9"/>
    <w:rsid w:val="00895278"/>
    <w:rsid w:val="008E343A"/>
    <w:rsid w:val="008F7786"/>
    <w:rsid w:val="00932F45"/>
    <w:rsid w:val="00951C10"/>
    <w:rsid w:val="00951C33"/>
    <w:rsid w:val="00951E70"/>
    <w:rsid w:val="0097587D"/>
    <w:rsid w:val="00980E16"/>
    <w:rsid w:val="00985D89"/>
    <w:rsid w:val="00986DC2"/>
    <w:rsid w:val="009A001D"/>
    <w:rsid w:val="009B1CCF"/>
    <w:rsid w:val="009E752F"/>
    <w:rsid w:val="00A113F0"/>
    <w:rsid w:val="00A41C16"/>
    <w:rsid w:val="00A60A4F"/>
    <w:rsid w:val="00A75DA9"/>
    <w:rsid w:val="00A817E1"/>
    <w:rsid w:val="00A92C33"/>
    <w:rsid w:val="00AA30FE"/>
    <w:rsid w:val="00AB2EC2"/>
    <w:rsid w:val="00AB53D9"/>
    <w:rsid w:val="00AB59E9"/>
    <w:rsid w:val="00AC59EA"/>
    <w:rsid w:val="00AD4173"/>
    <w:rsid w:val="00B07A67"/>
    <w:rsid w:val="00B114A3"/>
    <w:rsid w:val="00B25602"/>
    <w:rsid w:val="00B25D90"/>
    <w:rsid w:val="00B27499"/>
    <w:rsid w:val="00B2793F"/>
    <w:rsid w:val="00B34566"/>
    <w:rsid w:val="00B43192"/>
    <w:rsid w:val="00B55AF4"/>
    <w:rsid w:val="00B615A8"/>
    <w:rsid w:val="00B716BD"/>
    <w:rsid w:val="00B72DD9"/>
    <w:rsid w:val="00B75234"/>
    <w:rsid w:val="00BA729F"/>
    <w:rsid w:val="00BC2633"/>
    <w:rsid w:val="00BD775B"/>
    <w:rsid w:val="00BE4DD9"/>
    <w:rsid w:val="00BE5B06"/>
    <w:rsid w:val="00BF43A6"/>
    <w:rsid w:val="00BF4453"/>
    <w:rsid w:val="00C03409"/>
    <w:rsid w:val="00C074BB"/>
    <w:rsid w:val="00C23C3E"/>
    <w:rsid w:val="00C31BB2"/>
    <w:rsid w:val="00C408DE"/>
    <w:rsid w:val="00C41411"/>
    <w:rsid w:val="00C42F72"/>
    <w:rsid w:val="00C4378E"/>
    <w:rsid w:val="00C44D86"/>
    <w:rsid w:val="00C6370A"/>
    <w:rsid w:val="00C65676"/>
    <w:rsid w:val="00C839E7"/>
    <w:rsid w:val="00CA0316"/>
    <w:rsid w:val="00CA1F8A"/>
    <w:rsid w:val="00CB1151"/>
    <w:rsid w:val="00CC4429"/>
    <w:rsid w:val="00CE72F0"/>
    <w:rsid w:val="00D02774"/>
    <w:rsid w:val="00D02FE3"/>
    <w:rsid w:val="00D0314A"/>
    <w:rsid w:val="00D074B3"/>
    <w:rsid w:val="00D75F33"/>
    <w:rsid w:val="00D910F0"/>
    <w:rsid w:val="00DB0AE0"/>
    <w:rsid w:val="00DB1C50"/>
    <w:rsid w:val="00DC4BF1"/>
    <w:rsid w:val="00DE5604"/>
    <w:rsid w:val="00DE7388"/>
    <w:rsid w:val="00E018E0"/>
    <w:rsid w:val="00E14E49"/>
    <w:rsid w:val="00E17318"/>
    <w:rsid w:val="00E251CC"/>
    <w:rsid w:val="00E30D8B"/>
    <w:rsid w:val="00E31351"/>
    <w:rsid w:val="00E31A3A"/>
    <w:rsid w:val="00E4691B"/>
    <w:rsid w:val="00E53FCA"/>
    <w:rsid w:val="00E60EE7"/>
    <w:rsid w:val="00E6650E"/>
    <w:rsid w:val="00E66B36"/>
    <w:rsid w:val="00E8015A"/>
    <w:rsid w:val="00E86FC2"/>
    <w:rsid w:val="00E90F43"/>
    <w:rsid w:val="00E933DE"/>
    <w:rsid w:val="00EB5BB9"/>
    <w:rsid w:val="00EB754A"/>
    <w:rsid w:val="00EF1385"/>
    <w:rsid w:val="00F12F4F"/>
    <w:rsid w:val="00F2183F"/>
    <w:rsid w:val="00F22327"/>
    <w:rsid w:val="00F228AA"/>
    <w:rsid w:val="00F3466E"/>
    <w:rsid w:val="00F35CC6"/>
    <w:rsid w:val="00F72EDB"/>
    <w:rsid w:val="00F81ED6"/>
    <w:rsid w:val="00F954BC"/>
    <w:rsid w:val="00FA10C8"/>
    <w:rsid w:val="00FC2990"/>
    <w:rsid w:val="00FD171E"/>
    <w:rsid w:val="00FD357E"/>
    <w:rsid w:val="00FF5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char" fill="f" fillcolor="white" stroke="f">
      <v:fill color="white" on="f"/>
      <v:stroke dashstyle="1 1" endcap="round" on="f"/>
      <v:textbox inset=".5mm,.3mm,.5mm,.3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next w:val="a4"/>
    <w:pPr>
      <w:adjustRightInd w:val="0"/>
      <w:snapToGrid w:val="0"/>
      <w:spacing w:before="120" w:line="578" w:lineRule="exact"/>
      <w:ind w:left="1021" w:hanging="1021"/>
      <w:textAlignment w:val="center"/>
    </w:pPr>
    <w:rPr>
      <w:rFonts w:eastAsia="標楷體"/>
      <w:noProof/>
      <w:sz w:val="34"/>
    </w:rPr>
  </w:style>
  <w:style w:type="paragraph" w:customStyle="1" w:styleId="a5">
    <w:name w:val="公文(全銜)"/>
    <w:pPr>
      <w:adjustRightInd w:val="0"/>
      <w:snapToGrid w:val="0"/>
    </w:pPr>
    <w:rPr>
      <w:rFonts w:eastAsia="標楷體"/>
      <w:noProof/>
      <w:sz w:val="44"/>
    </w:rPr>
  </w:style>
  <w:style w:type="paragraph" w:customStyle="1" w:styleId="a6">
    <w:name w:val="公文(後續段落)"/>
    <w:pPr>
      <w:adjustRightInd w:val="0"/>
      <w:snapToGrid w:val="0"/>
      <w:spacing w:line="578" w:lineRule="exact"/>
      <w:ind w:left="340"/>
    </w:pPr>
    <w:rPr>
      <w:rFonts w:eastAsia="標楷體"/>
      <w:noProof/>
      <w:sz w:val="34"/>
    </w:rPr>
  </w:style>
  <w:style w:type="paragraph" w:customStyle="1" w:styleId="a4">
    <w:name w:val="公文(段落)"/>
    <w:next w:val="a6"/>
    <w:pPr>
      <w:adjustRightInd w:val="0"/>
      <w:snapToGrid w:val="0"/>
      <w:spacing w:line="578" w:lineRule="exact"/>
      <w:ind w:left="1020" w:hanging="1020"/>
    </w:pPr>
    <w:rPr>
      <w:rFonts w:eastAsia="標楷體"/>
      <w:noProof/>
      <w:sz w:val="34"/>
    </w:rPr>
  </w:style>
  <w:style w:type="paragraph" w:customStyle="1" w:styleId="a7">
    <w:name w:val="公文(發文字號)"/>
    <w:pPr>
      <w:adjustRightInd w:val="0"/>
      <w:snapToGrid w:val="0"/>
    </w:pPr>
    <w:rPr>
      <w:rFonts w:eastAsia="標楷體"/>
      <w:noProof/>
      <w:sz w:val="24"/>
    </w:rPr>
  </w:style>
  <w:style w:type="paragraph" w:customStyle="1" w:styleId="a8">
    <w:name w:val="公文(傳真)"/>
    <w:pPr>
      <w:adjustRightInd w:val="0"/>
      <w:snapToGrid w:val="0"/>
      <w:ind w:left="8217" w:hanging="1200"/>
    </w:pPr>
    <w:rPr>
      <w:rFonts w:eastAsia="標楷體"/>
      <w:noProof/>
      <w:sz w:val="24"/>
    </w:rPr>
  </w:style>
  <w:style w:type="paragraph" w:customStyle="1" w:styleId="a9">
    <w:name w:val="公文(敬陳)"/>
    <w:pPr>
      <w:adjustRightInd w:val="0"/>
      <w:snapToGrid w:val="0"/>
    </w:pPr>
    <w:rPr>
      <w:rFonts w:eastAsia="標楷體"/>
      <w:noProof/>
      <w:sz w:val="36"/>
    </w:rPr>
  </w:style>
  <w:style w:type="paragraph" w:customStyle="1" w:styleId="aa">
    <w:name w:val="公文(署名)"/>
    <w:pPr>
      <w:adjustRightInd w:val="0"/>
      <w:snapToGrid w:val="0"/>
      <w:ind w:left="3969"/>
    </w:pPr>
    <w:rPr>
      <w:rFonts w:eastAsia="標楷體"/>
      <w:noProof/>
      <w:sz w:val="36"/>
    </w:rPr>
  </w:style>
  <w:style w:type="paragraph" w:customStyle="1" w:styleId="ab">
    <w:name w:val="公文(機關地址)"/>
    <w:pPr>
      <w:adjustRightInd w:val="0"/>
      <w:snapToGrid w:val="0"/>
      <w:ind w:left="8217" w:hanging="1200"/>
    </w:pPr>
    <w:rPr>
      <w:rFonts w:eastAsia="標楷體"/>
      <w:noProof/>
      <w:sz w:val="24"/>
    </w:rPr>
  </w:style>
  <w:style w:type="paragraph" w:customStyle="1" w:styleId="ac">
    <w:name w:val="公文(擬辦)"/>
    <w:basedOn w:val="a4"/>
  </w:style>
  <w:style w:type="paragraph" w:styleId="ad">
    <w:name w:val="footer"/>
    <w:basedOn w:val="a"/>
    <w:pPr>
      <w:tabs>
        <w:tab w:val="center" w:pos="4153"/>
        <w:tab w:val="right" w:pos="8306"/>
      </w:tabs>
      <w:snapToGrid w:val="0"/>
    </w:pPr>
    <w:rPr>
      <w:sz w:val="20"/>
    </w:rPr>
  </w:style>
  <w:style w:type="paragraph" w:styleId="ae">
    <w:name w:val="header"/>
    <w:basedOn w:val="a"/>
    <w:pPr>
      <w:tabs>
        <w:tab w:val="center" w:pos="4153"/>
        <w:tab w:val="right" w:pos="8306"/>
      </w:tabs>
      <w:snapToGrid w:val="0"/>
    </w:pPr>
    <w:rPr>
      <w:sz w:val="20"/>
    </w:rPr>
  </w:style>
  <w:style w:type="character" w:styleId="af">
    <w:name w:val="page number"/>
    <w:basedOn w:val="a0"/>
  </w:style>
  <w:style w:type="paragraph" w:customStyle="1" w:styleId="af0">
    <w:name w:val="公文(正本)"/>
    <w:pPr>
      <w:adjustRightInd w:val="0"/>
      <w:snapToGrid w:val="0"/>
      <w:spacing w:before="120"/>
      <w:ind w:left="840" w:hanging="840"/>
    </w:pPr>
    <w:rPr>
      <w:rFonts w:eastAsia="標楷體"/>
      <w:noProof/>
      <w:sz w:val="28"/>
    </w:rPr>
  </w:style>
  <w:style w:type="paragraph" w:customStyle="1" w:styleId="af1">
    <w:name w:val="公文(抄本)"/>
    <w:pPr>
      <w:adjustRightInd w:val="0"/>
      <w:snapToGrid w:val="0"/>
      <w:ind w:left="840" w:hanging="840"/>
    </w:pPr>
    <w:rPr>
      <w:rFonts w:eastAsia="標楷體"/>
      <w:noProof/>
      <w:sz w:val="28"/>
    </w:rPr>
  </w:style>
  <w:style w:type="paragraph" w:customStyle="1" w:styleId="af2">
    <w:name w:val="公文(受文者)"/>
    <w:pPr>
      <w:adjustRightInd w:val="0"/>
      <w:snapToGrid w:val="0"/>
    </w:pPr>
    <w:rPr>
      <w:rFonts w:eastAsia="標楷體"/>
      <w:noProof/>
      <w:sz w:val="34"/>
    </w:rPr>
  </w:style>
  <w:style w:type="paragraph" w:customStyle="1" w:styleId="af3">
    <w:name w:val="公文(附件)"/>
    <w:pPr>
      <w:adjustRightInd w:val="0"/>
      <w:snapToGrid w:val="0"/>
      <w:ind w:left="780" w:hanging="780"/>
    </w:pPr>
    <w:rPr>
      <w:rFonts w:eastAsia="標楷體"/>
      <w:noProof/>
      <w:sz w:val="26"/>
    </w:rPr>
  </w:style>
  <w:style w:type="paragraph" w:customStyle="1" w:styleId="af4">
    <w:name w:val="公文(副本)"/>
    <w:pPr>
      <w:adjustRightInd w:val="0"/>
      <w:snapToGrid w:val="0"/>
      <w:ind w:left="840" w:hanging="840"/>
    </w:pPr>
    <w:rPr>
      <w:rFonts w:eastAsia="標楷體"/>
      <w:noProof/>
      <w:sz w:val="28"/>
    </w:rPr>
  </w:style>
  <w:style w:type="paragraph" w:customStyle="1" w:styleId="af5">
    <w:name w:val="公文(密等)"/>
    <w:pPr>
      <w:adjustRightInd w:val="0"/>
      <w:snapToGrid w:val="0"/>
    </w:pPr>
    <w:rPr>
      <w:rFonts w:eastAsia="標楷體"/>
      <w:noProof/>
      <w:sz w:val="26"/>
    </w:rPr>
  </w:style>
  <w:style w:type="paragraph" w:customStyle="1" w:styleId="af6">
    <w:name w:val="公文(速別)"/>
    <w:pPr>
      <w:adjustRightInd w:val="0"/>
      <w:snapToGrid w:val="0"/>
      <w:spacing w:before="120"/>
    </w:pPr>
    <w:rPr>
      <w:rFonts w:eastAsia="標楷體"/>
      <w:noProof/>
      <w:sz w:val="26"/>
    </w:rPr>
  </w:style>
  <w:style w:type="paragraph" w:customStyle="1" w:styleId="af7">
    <w:name w:val="公文(發文日期)"/>
    <w:pPr>
      <w:adjustRightInd w:val="0"/>
      <w:snapToGrid w:val="0"/>
    </w:pPr>
    <w:rPr>
      <w:rFonts w:eastAsia="標楷體"/>
      <w:noProof/>
      <w:sz w:val="26"/>
    </w:rPr>
  </w:style>
  <w:style w:type="character" w:styleId="af8">
    <w:name w:val="Hyperlink"/>
    <w:basedOn w:val="a0"/>
    <w:rPr>
      <w:color w:val="0000FF"/>
      <w:u w:val="single"/>
    </w:rPr>
  </w:style>
  <w:style w:type="character" w:styleId="af9">
    <w:name w:val="FollowedHyperlink"/>
    <w:basedOn w:val="a0"/>
    <w:rPr>
      <w:color w:val="800080"/>
      <w:u w:val="single"/>
    </w:rPr>
  </w:style>
  <w:style w:type="paragraph" w:styleId="2">
    <w:name w:val="Body Text 2"/>
    <w:basedOn w:val="a"/>
    <w:pPr>
      <w:jc w:val="center"/>
      <w:textAlignment w:val="center"/>
    </w:pPr>
  </w:style>
  <w:style w:type="paragraph" w:styleId="afa">
    <w:name w:val="Body Text Indent"/>
    <w:basedOn w:val="a"/>
    <w:pPr>
      <w:jc w:val="center"/>
      <w:textAlignment w:val="center"/>
    </w:pPr>
    <w:rPr>
      <w:szCs w:val="24"/>
    </w:rPr>
  </w:style>
  <w:style w:type="paragraph" w:styleId="afb">
    <w:name w:val="Body Text"/>
    <w:basedOn w:val="a"/>
    <w:rsid w:val="00A817E1"/>
    <w:pPr>
      <w:spacing w:after="120"/>
    </w:pPr>
  </w:style>
  <w:style w:type="table" w:styleId="afc">
    <w:name w:val="Table Grid"/>
    <w:basedOn w:val="a1"/>
    <w:rsid w:val="0071176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rsid w:val="0071176D"/>
    <w:rPr>
      <w:rFonts w:asciiTheme="majorHAnsi" w:eastAsiaTheme="majorEastAsia" w:hAnsiTheme="majorHAnsi" w:cstheme="majorBidi"/>
      <w:sz w:val="18"/>
      <w:szCs w:val="18"/>
    </w:rPr>
  </w:style>
  <w:style w:type="character" w:customStyle="1" w:styleId="afe">
    <w:name w:val="註解方塊文字 字元"/>
    <w:basedOn w:val="a0"/>
    <w:link w:val="afd"/>
    <w:rsid w:val="0071176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next w:val="a4"/>
    <w:pPr>
      <w:adjustRightInd w:val="0"/>
      <w:snapToGrid w:val="0"/>
      <w:spacing w:before="120" w:line="578" w:lineRule="exact"/>
      <w:ind w:left="1021" w:hanging="1021"/>
      <w:textAlignment w:val="center"/>
    </w:pPr>
    <w:rPr>
      <w:rFonts w:eastAsia="標楷體"/>
      <w:noProof/>
      <w:sz w:val="34"/>
    </w:rPr>
  </w:style>
  <w:style w:type="paragraph" w:customStyle="1" w:styleId="a5">
    <w:name w:val="公文(全銜)"/>
    <w:pPr>
      <w:adjustRightInd w:val="0"/>
      <w:snapToGrid w:val="0"/>
    </w:pPr>
    <w:rPr>
      <w:rFonts w:eastAsia="標楷體"/>
      <w:noProof/>
      <w:sz w:val="44"/>
    </w:rPr>
  </w:style>
  <w:style w:type="paragraph" w:customStyle="1" w:styleId="a6">
    <w:name w:val="公文(後續段落)"/>
    <w:pPr>
      <w:adjustRightInd w:val="0"/>
      <w:snapToGrid w:val="0"/>
      <w:spacing w:line="578" w:lineRule="exact"/>
      <w:ind w:left="340"/>
    </w:pPr>
    <w:rPr>
      <w:rFonts w:eastAsia="標楷體"/>
      <w:noProof/>
      <w:sz w:val="34"/>
    </w:rPr>
  </w:style>
  <w:style w:type="paragraph" w:customStyle="1" w:styleId="a4">
    <w:name w:val="公文(段落)"/>
    <w:next w:val="a6"/>
    <w:pPr>
      <w:adjustRightInd w:val="0"/>
      <w:snapToGrid w:val="0"/>
      <w:spacing w:line="578" w:lineRule="exact"/>
      <w:ind w:left="1020" w:hanging="1020"/>
    </w:pPr>
    <w:rPr>
      <w:rFonts w:eastAsia="標楷體"/>
      <w:noProof/>
      <w:sz w:val="34"/>
    </w:rPr>
  </w:style>
  <w:style w:type="paragraph" w:customStyle="1" w:styleId="a7">
    <w:name w:val="公文(發文字號)"/>
    <w:pPr>
      <w:adjustRightInd w:val="0"/>
      <w:snapToGrid w:val="0"/>
    </w:pPr>
    <w:rPr>
      <w:rFonts w:eastAsia="標楷體"/>
      <w:noProof/>
      <w:sz w:val="24"/>
    </w:rPr>
  </w:style>
  <w:style w:type="paragraph" w:customStyle="1" w:styleId="a8">
    <w:name w:val="公文(傳真)"/>
    <w:pPr>
      <w:adjustRightInd w:val="0"/>
      <w:snapToGrid w:val="0"/>
      <w:ind w:left="8217" w:hanging="1200"/>
    </w:pPr>
    <w:rPr>
      <w:rFonts w:eastAsia="標楷體"/>
      <w:noProof/>
      <w:sz w:val="24"/>
    </w:rPr>
  </w:style>
  <w:style w:type="paragraph" w:customStyle="1" w:styleId="a9">
    <w:name w:val="公文(敬陳)"/>
    <w:pPr>
      <w:adjustRightInd w:val="0"/>
      <w:snapToGrid w:val="0"/>
    </w:pPr>
    <w:rPr>
      <w:rFonts w:eastAsia="標楷體"/>
      <w:noProof/>
      <w:sz w:val="36"/>
    </w:rPr>
  </w:style>
  <w:style w:type="paragraph" w:customStyle="1" w:styleId="aa">
    <w:name w:val="公文(署名)"/>
    <w:pPr>
      <w:adjustRightInd w:val="0"/>
      <w:snapToGrid w:val="0"/>
      <w:ind w:left="3969"/>
    </w:pPr>
    <w:rPr>
      <w:rFonts w:eastAsia="標楷體"/>
      <w:noProof/>
      <w:sz w:val="36"/>
    </w:rPr>
  </w:style>
  <w:style w:type="paragraph" w:customStyle="1" w:styleId="ab">
    <w:name w:val="公文(機關地址)"/>
    <w:pPr>
      <w:adjustRightInd w:val="0"/>
      <w:snapToGrid w:val="0"/>
      <w:ind w:left="8217" w:hanging="1200"/>
    </w:pPr>
    <w:rPr>
      <w:rFonts w:eastAsia="標楷體"/>
      <w:noProof/>
      <w:sz w:val="24"/>
    </w:rPr>
  </w:style>
  <w:style w:type="paragraph" w:customStyle="1" w:styleId="ac">
    <w:name w:val="公文(擬辦)"/>
    <w:basedOn w:val="a4"/>
  </w:style>
  <w:style w:type="paragraph" w:styleId="ad">
    <w:name w:val="footer"/>
    <w:basedOn w:val="a"/>
    <w:pPr>
      <w:tabs>
        <w:tab w:val="center" w:pos="4153"/>
        <w:tab w:val="right" w:pos="8306"/>
      </w:tabs>
      <w:snapToGrid w:val="0"/>
    </w:pPr>
    <w:rPr>
      <w:sz w:val="20"/>
    </w:rPr>
  </w:style>
  <w:style w:type="paragraph" w:styleId="ae">
    <w:name w:val="header"/>
    <w:basedOn w:val="a"/>
    <w:pPr>
      <w:tabs>
        <w:tab w:val="center" w:pos="4153"/>
        <w:tab w:val="right" w:pos="8306"/>
      </w:tabs>
      <w:snapToGrid w:val="0"/>
    </w:pPr>
    <w:rPr>
      <w:sz w:val="20"/>
    </w:rPr>
  </w:style>
  <w:style w:type="character" w:styleId="af">
    <w:name w:val="page number"/>
    <w:basedOn w:val="a0"/>
  </w:style>
  <w:style w:type="paragraph" w:customStyle="1" w:styleId="af0">
    <w:name w:val="公文(正本)"/>
    <w:pPr>
      <w:adjustRightInd w:val="0"/>
      <w:snapToGrid w:val="0"/>
      <w:spacing w:before="120"/>
      <w:ind w:left="840" w:hanging="840"/>
    </w:pPr>
    <w:rPr>
      <w:rFonts w:eastAsia="標楷體"/>
      <w:noProof/>
      <w:sz w:val="28"/>
    </w:rPr>
  </w:style>
  <w:style w:type="paragraph" w:customStyle="1" w:styleId="af1">
    <w:name w:val="公文(抄本)"/>
    <w:pPr>
      <w:adjustRightInd w:val="0"/>
      <w:snapToGrid w:val="0"/>
      <w:ind w:left="840" w:hanging="840"/>
    </w:pPr>
    <w:rPr>
      <w:rFonts w:eastAsia="標楷體"/>
      <w:noProof/>
      <w:sz w:val="28"/>
    </w:rPr>
  </w:style>
  <w:style w:type="paragraph" w:customStyle="1" w:styleId="af2">
    <w:name w:val="公文(受文者)"/>
    <w:pPr>
      <w:adjustRightInd w:val="0"/>
      <w:snapToGrid w:val="0"/>
    </w:pPr>
    <w:rPr>
      <w:rFonts w:eastAsia="標楷體"/>
      <w:noProof/>
      <w:sz w:val="34"/>
    </w:rPr>
  </w:style>
  <w:style w:type="paragraph" w:customStyle="1" w:styleId="af3">
    <w:name w:val="公文(附件)"/>
    <w:pPr>
      <w:adjustRightInd w:val="0"/>
      <w:snapToGrid w:val="0"/>
      <w:ind w:left="780" w:hanging="780"/>
    </w:pPr>
    <w:rPr>
      <w:rFonts w:eastAsia="標楷體"/>
      <w:noProof/>
      <w:sz w:val="26"/>
    </w:rPr>
  </w:style>
  <w:style w:type="paragraph" w:customStyle="1" w:styleId="af4">
    <w:name w:val="公文(副本)"/>
    <w:pPr>
      <w:adjustRightInd w:val="0"/>
      <w:snapToGrid w:val="0"/>
      <w:ind w:left="840" w:hanging="840"/>
    </w:pPr>
    <w:rPr>
      <w:rFonts w:eastAsia="標楷體"/>
      <w:noProof/>
      <w:sz w:val="28"/>
    </w:rPr>
  </w:style>
  <w:style w:type="paragraph" w:customStyle="1" w:styleId="af5">
    <w:name w:val="公文(密等)"/>
    <w:pPr>
      <w:adjustRightInd w:val="0"/>
      <w:snapToGrid w:val="0"/>
    </w:pPr>
    <w:rPr>
      <w:rFonts w:eastAsia="標楷體"/>
      <w:noProof/>
      <w:sz w:val="26"/>
    </w:rPr>
  </w:style>
  <w:style w:type="paragraph" w:customStyle="1" w:styleId="af6">
    <w:name w:val="公文(速別)"/>
    <w:pPr>
      <w:adjustRightInd w:val="0"/>
      <w:snapToGrid w:val="0"/>
      <w:spacing w:before="120"/>
    </w:pPr>
    <w:rPr>
      <w:rFonts w:eastAsia="標楷體"/>
      <w:noProof/>
      <w:sz w:val="26"/>
    </w:rPr>
  </w:style>
  <w:style w:type="paragraph" w:customStyle="1" w:styleId="af7">
    <w:name w:val="公文(發文日期)"/>
    <w:pPr>
      <w:adjustRightInd w:val="0"/>
      <w:snapToGrid w:val="0"/>
    </w:pPr>
    <w:rPr>
      <w:rFonts w:eastAsia="標楷體"/>
      <w:noProof/>
      <w:sz w:val="26"/>
    </w:rPr>
  </w:style>
  <w:style w:type="character" w:styleId="af8">
    <w:name w:val="Hyperlink"/>
    <w:basedOn w:val="a0"/>
    <w:rPr>
      <w:color w:val="0000FF"/>
      <w:u w:val="single"/>
    </w:rPr>
  </w:style>
  <w:style w:type="character" w:styleId="af9">
    <w:name w:val="FollowedHyperlink"/>
    <w:basedOn w:val="a0"/>
    <w:rPr>
      <w:color w:val="800080"/>
      <w:u w:val="single"/>
    </w:rPr>
  </w:style>
  <w:style w:type="paragraph" w:styleId="2">
    <w:name w:val="Body Text 2"/>
    <w:basedOn w:val="a"/>
    <w:pPr>
      <w:jc w:val="center"/>
      <w:textAlignment w:val="center"/>
    </w:pPr>
  </w:style>
  <w:style w:type="paragraph" w:styleId="afa">
    <w:name w:val="Body Text Indent"/>
    <w:basedOn w:val="a"/>
    <w:pPr>
      <w:jc w:val="center"/>
      <w:textAlignment w:val="center"/>
    </w:pPr>
    <w:rPr>
      <w:szCs w:val="24"/>
    </w:rPr>
  </w:style>
  <w:style w:type="paragraph" w:styleId="afb">
    <w:name w:val="Body Text"/>
    <w:basedOn w:val="a"/>
    <w:rsid w:val="00A817E1"/>
    <w:pPr>
      <w:spacing w:after="120"/>
    </w:pPr>
  </w:style>
  <w:style w:type="table" w:styleId="afc">
    <w:name w:val="Table Grid"/>
    <w:basedOn w:val="a1"/>
    <w:rsid w:val="0071176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rsid w:val="0071176D"/>
    <w:rPr>
      <w:rFonts w:asciiTheme="majorHAnsi" w:eastAsiaTheme="majorEastAsia" w:hAnsiTheme="majorHAnsi" w:cstheme="majorBidi"/>
      <w:sz w:val="18"/>
      <w:szCs w:val="18"/>
    </w:rPr>
  </w:style>
  <w:style w:type="character" w:customStyle="1" w:styleId="afe">
    <w:name w:val="註解方塊文字 字元"/>
    <w:basedOn w:val="a0"/>
    <w:link w:val="afd"/>
    <w:rsid w:val="007117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2C41-8252-4E60-B9B2-B5AC8D3E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1072</Words>
  <Characters>6111</Characters>
  <Application>Microsoft Office Word</Application>
  <DocSecurity>0</DocSecurity>
  <Lines>50</Lines>
  <Paragraphs>14</Paragraphs>
  <ScaleCrop>false</ScaleCrop>
  <Company>estc</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　於 年  月  日</dc:title>
  <dc:creator>N</dc:creator>
  <cp:lastModifiedBy>李怡芬</cp:lastModifiedBy>
  <cp:revision>6</cp:revision>
  <cp:lastPrinted>2015-10-02T06:35:00Z</cp:lastPrinted>
  <dcterms:created xsi:type="dcterms:W3CDTF">2015-10-02T06:11:00Z</dcterms:created>
  <dcterms:modified xsi:type="dcterms:W3CDTF">2015-10-02T06:52:00Z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別">
    <vt:lpwstr>環檢所公告(橫)</vt:lpwstr>
  </property>
  <property fmtid="{D5CDD505-2E9C-101B-9397-08002B2CF9AE}" pid="3" name="函類別">
    <vt:lpwstr>函</vt:lpwstr>
  </property>
  <property fmtid="{D5CDD505-2E9C-101B-9397-08002B2CF9AE}" pid="4" name="Sendable">
    <vt:bool>false</vt:bool>
  </property>
  <property fmtid="{D5CDD505-2E9C-101B-9397-08002B2CF9AE}" pid="5" name="IsDraft">
    <vt:lpwstr>FALSE</vt:lpwstr>
  </property>
  <property fmtid="{D5CDD505-2E9C-101B-9397-08002B2CF9AE}" pid="6" name="IsTable">
    <vt:bool>false</vt:bool>
  </property>
  <property fmtid="{D5CDD505-2E9C-101B-9397-08002B2CF9AE}" pid="7" name="範本類別">
    <vt:lpwstr>書籤</vt:lpwstr>
  </property>
  <property fmtid="{D5CDD505-2E9C-101B-9397-08002B2CF9AE}" pid="8" name="電子交換類別">
    <vt:lpwstr>0</vt:lpwstr>
  </property>
  <property fmtid="{D5CDD505-2E9C-101B-9397-08002B2CF9AE}" pid="9" name="發文無正副本">
    <vt:lpwstr>true</vt:lpwstr>
  </property>
  <property fmtid="{D5CDD505-2E9C-101B-9397-08002B2CF9AE}" pid="10" name="可發無正副本">
    <vt:lpwstr>true</vt:lpwstr>
  </property>
  <property fmtid="{D5CDD505-2E9C-101B-9397-08002B2CF9AE}" pid="11" name="Esendable">
    <vt:lpwstr>0</vt:lpwstr>
  </property>
  <property fmtid="{D5CDD505-2E9C-101B-9397-08002B2CF9AE}" pid="12" name="改列紙本原因">
    <vt:lpwstr>非電子公文受文對象</vt:lpwstr>
  </property>
  <property fmtid="{D5CDD505-2E9C-101B-9397-08002B2CF9AE}" pid="13" name="發文代字">
    <vt:lpwstr>環署檢</vt:lpwstr>
  </property>
  <property fmtid="{D5CDD505-2E9C-101B-9397-08002B2CF9AE}" pid="14" name="文件編號">
    <vt:lpwstr>101S001012</vt:lpwstr>
  </property>
  <property fmtid="{D5CDD505-2E9C-101B-9397-08002B2CF9AE}" pid="15" name="文件版本">
    <vt:lpwstr>3</vt:lpwstr>
  </property>
  <property fmtid="{D5CDD505-2E9C-101B-9397-08002B2CF9AE}" pid="16" name="文件父編號">
    <vt:lpwstr>101S001012</vt:lpwstr>
  </property>
  <property fmtid="{D5CDD505-2E9C-101B-9397-08002B2CF9AE}" pid="17" name="文件父編號稿別">
    <vt:lpwstr/>
  </property>
  <property fmtid="{D5CDD505-2E9C-101B-9397-08002B2CF9AE}" pid="18" name="文件父編號類別">
    <vt:lpwstr>2</vt:lpwstr>
  </property>
  <property fmtid="{D5CDD505-2E9C-101B-9397-08002B2CF9AE}" pid="19" name="文件最後修改者">
    <vt:lpwstr>蔡淑美(總發文人員)</vt:lpwstr>
  </property>
  <property fmtid="{D5CDD505-2E9C-101B-9397-08002B2CF9AE}" pid="20" name="公文製作版本">
    <vt:lpwstr>10003250000&amp;</vt:lpwstr>
  </property>
  <property fmtid="{D5CDD505-2E9C-101B-9397-08002B2CF9AE}" pid="21" name="剛被轉換之公文">
    <vt:lpwstr>FALSE</vt:lpwstr>
  </property>
  <property fmtid="{D5CDD505-2E9C-101B-9397-08002B2CF9AE}" pid="22" name="含有附件">
    <vt:lpwstr>FALSE</vt:lpwstr>
  </property>
  <property fmtid="{D5CDD505-2E9C-101B-9397-08002B2CF9AE}" pid="23" name="附件資訊">
    <vt:lpwstr/>
  </property>
  <property fmtid="{D5CDD505-2E9C-101B-9397-08002B2CF9AE}" pid="24" name="使用附件資訊">
    <vt:lpwstr>FALSE</vt:lpwstr>
  </property>
  <property fmtid="{D5CDD505-2E9C-101B-9397-08002B2CF9AE}" pid="25" name="建立日期">
    <vt:lpwstr>101/07/19 14:50</vt:lpwstr>
  </property>
  <property fmtid="{D5CDD505-2E9C-101B-9397-08002B2CF9AE}" pid="26" name="文件建立者">
    <vt:lpwstr>行政小組</vt:lpwstr>
  </property>
  <property fmtid="{D5CDD505-2E9C-101B-9397-08002B2CF9AE}" pid="27" name="章戳">
    <vt:lpwstr>署長 沈世宏</vt:lpwstr>
  </property>
  <property fmtid="{D5CDD505-2E9C-101B-9397-08002B2CF9AE}" pid="28" name="公文文號">
    <vt:lpwstr>1010065301</vt:lpwstr>
  </property>
</Properties>
</file>