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E" w:rsidRPr="00C57351" w:rsidRDefault="00C47D8E" w:rsidP="00C57351">
      <w:pPr>
        <w:pStyle w:val="a5"/>
        <w:spacing w:line="200" w:lineRule="atLeast"/>
        <w:jc w:val="center"/>
        <w:rPr>
          <w:kern w:val="2"/>
          <w:sz w:val="40"/>
        </w:rPr>
      </w:pPr>
      <w:r w:rsidRPr="00C57351">
        <w:rPr>
          <w:rFonts w:hint="eastAsia"/>
          <w:sz w:val="40"/>
        </w:rPr>
        <w:t>行政院環境保護署　公告</w:t>
      </w:r>
    </w:p>
    <w:p w:rsidR="006F47D5" w:rsidRPr="00C57351" w:rsidRDefault="006F47D5" w:rsidP="006F47D5">
      <w:pPr>
        <w:pStyle w:val="a8"/>
        <w:spacing w:line="200" w:lineRule="atLeast"/>
        <w:ind w:left="1200" w:hangingChars="500" w:hanging="1200"/>
        <w:rPr>
          <w:sz w:val="24"/>
        </w:rPr>
      </w:pPr>
      <w:r w:rsidRPr="00C57351">
        <w:rPr>
          <w:rFonts w:hint="eastAsia"/>
          <w:sz w:val="24"/>
        </w:rPr>
        <w:t>發文日期：中華民國</w:t>
      </w:r>
      <w:r w:rsidRPr="00C57351">
        <w:rPr>
          <w:rFonts w:hint="eastAsia"/>
          <w:sz w:val="24"/>
        </w:rPr>
        <w:t>104</w:t>
      </w:r>
      <w:r w:rsidRPr="00C57351">
        <w:rPr>
          <w:rFonts w:hint="eastAsia"/>
          <w:sz w:val="24"/>
        </w:rPr>
        <w:t>年</w:t>
      </w:r>
      <w:r w:rsidRPr="00C57351">
        <w:rPr>
          <w:rFonts w:hint="eastAsia"/>
          <w:sz w:val="24"/>
        </w:rPr>
        <w:t>9</w:t>
      </w:r>
      <w:r w:rsidRPr="00C57351">
        <w:rPr>
          <w:rFonts w:hint="eastAsia"/>
          <w:sz w:val="24"/>
        </w:rPr>
        <w:t>月</w:t>
      </w:r>
      <w:r w:rsidRPr="00C57351">
        <w:rPr>
          <w:rFonts w:hint="eastAsia"/>
          <w:sz w:val="24"/>
        </w:rPr>
        <w:t>14</w:t>
      </w:r>
      <w:r w:rsidRPr="00C57351">
        <w:rPr>
          <w:rFonts w:hint="eastAsia"/>
          <w:sz w:val="24"/>
        </w:rPr>
        <w:t>日</w:t>
      </w:r>
    </w:p>
    <w:p w:rsidR="006F47D5" w:rsidRPr="00C57351" w:rsidRDefault="006F47D5" w:rsidP="006F47D5">
      <w:pPr>
        <w:pStyle w:val="a8"/>
        <w:spacing w:line="200" w:lineRule="atLeast"/>
        <w:ind w:left="1200" w:hangingChars="500" w:hanging="1200"/>
        <w:rPr>
          <w:sz w:val="24"/>
        </w:rPr>
      </w:pPr>
      <w:r w:rsidRPr="00C57351">
        <w:rPr>
          <w:rFonts w:hint="eastAsia"/>
          <w:sz w:val="24"/>
        </w:rPr>
        <w:t>發文字號：</w:t>
      </w:r>
      <w:r w:rsidR="00B51EDF" w:rsidRPr="00C57351">
        <w:rPr>
          <w:rFonts w:hint="eastAsia"/>
          <w:sz w:val="24"/>
        </w:rPr>
        <w:t>環署溫字第</w:t>
      </w:r>
      <w:r w:rsidR="00B51EDF" w:rsidRPr="00C57351">
        <w:rPr>
          <w:rFonts w:hint="eastAsia"/>
          <w:sz w:val="24"/>
        </w:rPr>
        <w:t>1040075637A</w:t>
      </w:r>
      <w:r w:rsidR="00B51EDF" w:rsidRPr="00C57351">
        <w:rPr>
          <w:rFonts w:hint="eastAsia"/>
          <w:sz w:val="24"/>
        </w:rPr>
        <w:t>號</w:t>
      </w:r>
    </w:p>
    <w:p w:rsidR="00B51EDF" w:rsidRPr="00C57351" w:rsidRDefault="00B51EDF" w:rsidP="006F47D5">
      <w:pPr>
        <w:pStyle w:val="a8"/>
        <w:spacing w:line="200" w:lineRule="atLeast"/>
        <w:ind w:left="1200" w:hangingChars="500" w:hanging="1200"/>
        <w:rPr>
          <w:sz w:val="24"/>
        </w:rPr>
      </w:pPr>
    </w:p>
    <w:p w:rsidR="00C47D8E" w:rsidRPr="00C57351" w:rsidRDefault="00C47D8E" w:rsidP="00B51EDF">
      <w:pPr>
        <w:pStyle w:val="a8"/>
        <w:spacing w:line="200" w:lineRule="atLeast"/>
        <w:ind w:left="992" w:hangingChars="310" w:hanging="992"/>
        <w:rPr>
          <w:sz w:val="32"/>
        </w:rPr>
      </w:pPr>
      <w:r w:rsidRPr="00C57351">
        <w:rPr>
          <w:rFonts w:hint="eastAsia"/>
          <w:sz w:val="32"/>
        </w:rPr>
        <w:t>主旨：</w:t>
      </w:r>
      <w:bookmarkStart w:id="0" w:name="主旨"/>
      <w:bookmarkEnd w:id="0"/>
      <w:r w:rsidR="00B51EDF" w:rsidRPr="00C57351">
        <w:rPr>
          <w:rFonts w:hint="eastAsia"/>
          <w:sz w:val="32"/>
          <w:szCs w:val="32"/>
        </w:rPr>
        <w:t>預告訂定「</w:t>
      </w:r>
      <w:bookmarkStart w:id="1" w:name="_GoBack"/>
      <w:bookmarkEnd w:id="1"/>
      <w:r w:rsidR="00B51EDF" w:rsidRPr="00C57351">
        <w:rPr>
          <w:rFonts w:hint="eastAsia"/>
          <w:sz w:val="32"/>
          <w:szCs w:val="32"/>
        </w:rPr>
        <w:t>第一批應盤查登錄溫室氣體排放量之排放源」草案</w:t>
      </w:r>
      <w:r w:rsidR="006F47D5" w:rsidRPr="00C57351">
        <w:rPr>
          <w:rFonts w:hint="eastAsia"/>
          <w:sz w:val="32"/>
          <w:szCs w:val="32"/>
        </w:rPr>
        <w:t>。</w:t>
      </w:r>
    </w:p>
    <w:p w:rsidR="006F47D5" w:rsidRPr="00C57351" w:rsidRDefault="00C47D8E" w:rsidP="006F47D5">
      <w:pPr>
        <w:pStyle w:val="a4"/>
        <w:spacing w:line="240" w:lineRule="auto"/>
        <w:rPr>
          <w:sz w:val="32"/>
          <w:szCs w:val="32"/>
        </w:rPr>
      </w:pPr>
      <w:r w:rsidRPr="00C57351">
        <w:rPr>
          <w:rFonts w:hint="eastAsia"/>
          <w:sz w:val="32"/>
        </w:rPr>
        <w:t>依據：</w:t>
      </w:r>
      <w:r w:rsidR="006F47D5" w:rsidRPr="00C57351">
        <w:rPr>
          <w:rFonts w:hint="eastAsia"/>
          <w:sz w:val="32"/>
          <w:szCs w:val="32"/>
        </w:rPr>
        <w:t>行政程序法第</w:t>
      </w:r>
      <w:r w:rsidR="006F47D5" w:rsidRPr="00C57351">
        <w:rPr>
          <w:rFonts w:hint="eastAsia"/>
          <w:sz w:val="32"/>
          <w:szCs w:val="32"/>
        </w:rPr>
        <w:t>154</w:t>
      </w:r>
      <w:r w:rsidR="006F47D5" w:rsidRPr="00C57351">
        <w:rPr>
          <w:rFonts w:hint="eastAsia"/>
          <w:sz w:val="32"/>
          <w:szCs w:val="32"/>
        </w:rPr>
        <w:t>條第</w:t>
      </w:r>
      <w:r w:rsidR="006F47D5" w:rsidRPr="00C57351">
        <w:rPr>
          <w:rFonts w:hint="eastAsia"/>
          <w:sz w:val="32"/>
          <w:szCs w:val="32"/>
        </w:rPr>
        <w:t>1</w:t>
      </w:r>
      <w:r w:rsidR="006F47D5" w:rsidRPr="00C57351">
        <w:rPr>
          <w:rFonts w:hint="eastAsia"/>
          <w:sz w:val="32"/>
          <w:szCs w:val="32"/>
        </w:rPr>
        <w:t>項。</w:t>
      </w:r>
    </w:p>
    <w:p w:rsidR="00C47D8E" w:rsidRPr="00C57351" w:rsidRDefault="00C47D8E" w:rsidP="006F47D5">
      <w:pPr>
        <w:pStyle w:val="a4"/>
        <w:spacing w:line="240" w:lineRule="auto"/>
        <w:rPr>
          <w:sz w:val="32"/>
        </w:rPr>
      </w:pPr>
      <w:r w:rsidRPr="00C57351">
        <w:rPr>
          <w:rFonts w:hint="eastAsia"/>
          <w:sz w:val="32"/>
        </w:rPr>
        <w:t>預告事項：</w:t>
      </w:r>
      <w:bookmarkStart w:id="2" w:name="公告事項"/>
      <w:bookmarkEnd w:id="2"/>
    </w:p>
    <w:p w:rsidR="006F47D5" w:rsidRPr="00C57351" w:rsidRDefault="00077D1F" w:rsidP="006F47D5">
      <w:pPr>
        <w:pStyle w:val="a6"/>
        <w:numPr>
          <w:ilvl w:val="0"/>
          <w:numId w:val="3"/>
        </w:numPr>
        <w:spacing w:line="200" w:lineRule="atLeast"/>
        <w:ind w:hanging="1334"/>
        <w:jc w:val="both"/>
        <w:rPr>
          <w:sz w:val="32"/>
        </w:rPr>
      </w:pPr>
      <w:r>
        <w:rPr>
          <w:sz w:val="40"/>
        </w:rPr>
        <mc:AlternateContent>
          <mc:Choice Requires="wpg">
            <w:drawing>
              <wp:anchor distT="0" distB="0" distL="114300" distR="114300" simplePos="0" relativeHeight="251659264" behindDoc="0" locked="1" layoutInCell="1" allowOverlap="1" wp14:anchorId="3445D474" wp14:editId="75F4443F">
                <wp:simplePos x="0" y="0"/>
                <wp:positionH relativeFrom="character">
                  <wp:posOffset>-875665</wp:posOffset>
                </wp:positionH>
                <wp:positionV relativeFrom="page">
                  <wp:posOffset>1233805</wp:posOffset>
                </wp:positionV>
                <wp:extent cx="215900" cy="8712200"/>
                <wp:effectExtent l="0" t="0" r="0" b="3175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2" name="Text Box 14"/>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D1F" w:rsidRDefault="00077D1F" w:rsidP="00077D1F">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3" name="Text Box 15"/>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D1F" w:rsidRDefault="00077D1F" w:rsidP="00077D1F">
                              <w:pPr>
                                <w:rPr>
                                  <w:color w:val="FF0000"/>
                                  <w:sz w:val="28"/>
                                </w:rPr>
                              </w:pPr>
                              <w:r>
                                <w:rPr>
                                  <w:rFonts w:hint="eastAsia"/>
                                  <w:color w:val="FF0000"/>
                                  <w:sz w:val="28"/>
                                </w:rPr>
                                <w:t>裝</w:t>
                              </w:r>
                            </w:p>
                          </w:txbxContent>
                        </wps:txbx>
                        <wps:bodyPr rot="0" vert="horz" wrap="square" lIns="0" tIns="0" rIns="0" bIns="0" anchor="t" anchorCtr="0" upright="1">
                          <a:noAutofit/>
                        </wps:bodyPr>
                      </wps:wsp>
                      <wps:wsp>
                        <wps:cNvPr id="4" name="Text Box 16"/>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D1F" w:rsidRDefault="00077D1F" w:rsidP="00077D1F">
                              <w:pPr>
                                <w:rPr>
                                  <w:color w:val="FF0000"/>
                                  <w:sz w:val="28"/>
                                </w:rPr>
                              </w:pPr>
                              <w:r>
                                <w:rPr>
                                  <w:rFonts w:hint="eastAsia"/>
                                  <w:color w:val="FF0000"/>
                                  <w:sz w:val="28"/>
                                </w:rPr>
                                <w:t>訂</w:t>
                              </w:r>
                            </w:p>
                          </w:txbxContent>
                        </wps:txbx>
                        <wps:bodyPr rot="0" vert="horz" wrap="square" lIns="0" tIns="0" rIns="0" bIns="0" anchor="t" anchorCtr="0" upright="1">
                          <a:noAutofit/>
                        </wps:bodyPr>
                      </wps:wsp>
                      <wps:wsp>
                        <wps:cNvPr id="5" name="Line 17"/>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 name="Line 18"/>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7" name="Line 19"/>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68.95pt;margin-top:97.15pt;width:17pt;height:686pt;z-index:251659264;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">
                <v:shapetype id="_x0000_t202" coordsize="21600,21600" o:spt="202" path="m,l,21600r21600,l21600,xe">
                  <v:stroke joinstyle="miter"/>
                  <v:path gradientshapeok="t" o:connecttype="rect"/>
                </v:shapetype>
                <v:shape id="Text Box 14" o:spid="_x0000_s1027"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077D1F" w:rsidRDefault="00077D1F" w:rsidP="00077D1F">
                        <w:pPr>
                          <w:rPr>
                            <w:color w:val="FF0000"/>
                            <w:sz w:val="28"/>
                          </w:rPr>
                        </w:pPr>
                        <w:r>
                          <w:rPr>
                            <w:rFonts w:hint="eastAsia"/>
                            <w:color w:val="FF0000"/>
                            <w:sz w:val="28"/>
                          </w:rPr>
                          <w:t>線</w:t>
                        </w:r>
                      </w:p>
                    </w:txbxContent>
                  </v:textbox>
                </v:shape>
                <v:shape id="Text Box 15" o:spid="_x0000_s1028"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077D1F" w:rsidRDefault="00077D1F" w:rsidP="00077D1F">
                        <w:pPr>
                          <w:rPr>
                            <w:color w:val="FF0000"/>
                            <w:sz w:val="28"/>
                          </w:rPr>
                        </w:pPr>
                        <w:r>
                          <w:rPr>
                            <w:rFonts w:hint="eastAsia"/>
                            <w:color w:val="FF0000"/>
                            <w:sz w:val="28"/>
                          </w:rPr>
                          <w:t>裝</w:t>
                        </w:r>
                      </w:p>
                    </w:txbxContent>
                  </v:textbox>
                </v:shape>
                <v:shape id="Text Box 16" o:spid="_x0000_s1029"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077D1F" w:rsidRDefault="00077D1F" w:rsidP="00077D1F">
                        <w:pPr>
                          <w:rPr>
                            <w:color w:val="FF0000"/>
                            <w:sz w:val="28"/>
                          </w:rPr>
                        </w:pPr>
                        <w:r>
                          <w:rPr>
                            <w:rFonts w:hint="eastAsia"/>
                            <w:color w:val="FF0000"/>
                            <w:sz w:val="28"/>
                          </w:rPr>
                          <w:t>訂</w:t>
                        </w:r>
                      </w:p>
                    </w:txbxContent>
                  </v:textbox>
                </v:shape>
                <v:line id="Line 17" o:spid="_x0000_s1030"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ZisQAAADaAAAADwAAAGRycy9kb3ducmV2LnhtbESPT2vCQBTE74LfYXlCb3UTaZs2uhGx&#10;FPRS/BP0+si+JqHZt0t2q+m37woFj8PM/IZZLAfTiQv1vrWsIJ0mIIgrq1uuFZTHj8dXED4ga+ws&#10;k4Jf8rAsxqMF5tpeeU+XQ6hFhLDPUUETgsul9FVDBv3UOuLofdneYIiyr6Xu8RrhppOzJHmRBluO&#10;Cw06WjdUfR9+jAJfnjhz6elz87TK5O7tvA3vpVPqYTKs5iACDeEe/m9vtIJnuF2JN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ZmKxAAAANoAAAAPAAAAAAAAAAAA&#10;AAAAAKECAABkcnMvZG93bnJldi54bWxQSwUGAAAAAAQABAD5AAAAkgMAAAAA&#10;" strokecolor="red">
                  <v:stroke dashstyle="1 1" endcap="round"/>
                </v:line>
                <v:line id="Line 18" o:spid="_x0000_s1031"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H/cMAAADaAAAADwAAAGRycy9kb3ducmV2LnhtbESPQWvCQBSE74L/YXmF3uomUqKNrhKU&#10;QnopVYO9PrLPJDT7dsluNf333ULB4zAz3zDr7Wh6caXBd5YVpLMEBHFtdceNgur0+rQE4QOyxt4y&#10;KfghD9vNdLLGXNsbH+h6DI2IEPY5KmhDcLmUvm7JoJ9ZRxy9ix0MhiiHRuoBbxFuejlPkkwa7Dgu&#10;tOho11L9dfw2Cnx15oVLz+/lc7GQHy+fb2FfOaUeH8ZiBSLQGO7h/3apFWT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3DAAAA2gAAAA8AAAAAAAAAAAAA&#10;AAAAoQIAAGRycy9kb3ducmV2LnhtbFBLBQYAAAAABAAEAPkAAACRAwAAAAA=&#10;" strokecolor="red">
                  <v:stroke dashstyle="1 1" endcap="round"/>
                </v:line>
                <v:line id="Line 19" o:spid="_x0000_s1032"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20" o:spid="_x0000_s1033"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w10:wrap type="square" anchory="page"/>
                <w10:anchorlock/>
              </v:group>
            </w:pict>
          </mc:Fallback>
        </mc:AlternateContent>
      </w:r>
      <w:r w:rsidR="006F47D5" w:rsidRPr="00C57351">
        <w:rPr>
          <w:rFonts w:hint="eastAsia"/>
          <w:sz w:val="32"/>
          <w:szCs w:val="32"/>
        </w:rPr>
        <w:t>訂定機關：行政院環境保護署。</w:t>
      </w:r>
    </w:p>
    <w:p w:rsidR="006F47D5" w:rsidRPr="00C57351" w:rsidRDefault="006F47D5" w:rsidP="006F47D5">
      <w:pPr>
        <w:pStyle w:val="a6"/>
        <w:numPr>
          <w:ilvl w:val="0"/>
          <w:numId w:val="3"/>
        </w:numPr>
        <w:spacing w:line="200" w:lineRule="atLeast"/>
        <w:ind w:hanging="1334"/>
        <w:jc w:val="both"/>
        <w:rPr>
          <w:sz w:val="32"/>
          <w:szCs w:val="32"/>
        </w:rPr>
      </w:pPr>
      <w:r w:rsidRPr="00C57351">
        <w:rPr>
          <w:rFonts w:hint="eastAsia"/>
          <w:sz w:val="32"/>
          <w:szCs w:val="32"/>
        </w:rPr>
        <w:t>訂定依據：溫室氣體減量及管理法第</w:t>
      </w:r>
      <w:r w:rsidRPr="00C57351">
        <w:rPr>
          <w:rFonts w:hint="eastAsia"/>
          <w:sz w:val="32"/>
          <w:szCs w:val="32"/>
        </w:rPr>
        <w:t>16</w:t>
      </w:r>
      <w:r w:rsidRPr="00C57351">
        <w:rPr>
          <w:rFonts w:hint="eastAsia"/>
          <w:sz w:val="32"/>
          <w:szCs w:val="32"/>
        </w:rPr>
        <w:t>條第</w:t>
      </w:r>
      <w:r w:rsidR="00B51EDF" w:rsidRPr="00C57351">
        <w:rPr>
          <w:rFonts w:hint="eastAsia"/>
          <w:sz w:val="32"/>
          <w:szCs w:val="32"/>
        </w:rPr>
        <w:t>1</w:t>
      </w:r>
      <w:r w:rsidRPr="00C57351">
        <w:rPr>
          <w:rFonts w:hint="eastAsia"/>
          <w:sz w:val="32"/>
          <w:szCs w:val="32"/>
        </w:rPr>
        <w:t>項。</w:t>
      </w:r>
    </w:p>
    <w:p w:rsidR="00C47D8E" w:rsidRPr="00C57351" w:rsidRDefault="006F47D5" w:rsidP="006F47D5">
      <w:pPr>
        <w:pStyle w:val="a6"/>
        <w:numPr>
          <w:ilvl w:val="0"/>
          <w:numId w:val="3"/>
        </w:numPr>
        <w:spacing w:line="200" w:lineRule="atLeast"/>
        <w:ind w:left="630" w:hanging="630"/>
        <w:jc w:val="both"/>
        <w:rPr>
          <w:sz w:val="32"/>
          <w:szCs w:val="32"/>
        </w:rPr>
      </w:pPr>
      <w:r w:rsidRPr="00C57351">
        <w:rPr>
          <w:rFonts w:hint="eastAsia"/>
          <w:sz w:val="32"/>
          <w:szCs w:val="32"/>
        </w:rPr>
        <w:t>草案如附件。本草案另詳載於本署網站（網址：</w:t>
      </w:r>
      <w:r w:rsidRPr="00C57351">
        <w:rPr>
          <w:rFonts w:hint="eastAsia"/>
          <w:sz w:val="32"/>
          <w:szCs w:val="32"/>
        </w:rPr>
        <w:t>http://ivy5.epa.gov.tw/epalaw/index.aspx</w:t>
      </w:r>
      <w:r w:rsidRPr="00C57351">
        <w:rPr>
          <w:rFonts w:hint="eastAsia"/>
          <w:sz w:val="32"/>
          <w:szCs w:val="32"/>
        </w:rPr>
        <w:t>）法規命令草案預告區網頁。</w:t>
      </w:r>
    </w:p>
    <w:p w:rsidR="006F47D5" w:rsidRPr="00C57351" w:rsidRDefault="006F47D5" w:rsidP="006F47D5">
      <w:pPr>
        <w:pStyle w:val="a6"/>
        <w:numPr>
          <w:ilvl w:val="0"/>
          <w:numId w:val="3"/>
        </w:numPr>
        <w:spacing w:line="200" w:lineRule="atLeast"/>
        <w:ind w:left="644" w:hanging="644"/>
        <w:jc w:val="both"/>
        <w:rPr>
          <w:sz w:val="32"/>
          <w:szCs w:val="32"/>
        </w:rPr>
      </w:pPr>
      <w:r w:rsidRPr="00C57351">
        <w:rPr>
          <w:rFonts w:hint="eastAsia"/>
          <w:sz w:val="32"/>
          <w:szCs w:val="32"/>
        </w:rPr>
        <w:t>對於本草案內容有任何意見或修正建議者，請於本公告刊登公報之次日起</w:t>
      </w:r>
      <w:r w:rsidRPr="00C57351">
        <w:rPr>
          <w:rFonts w:hint="eastAsia"/>
          <w:sz w:val="32"/>
          <w:szCs w:val="32"/>
        </w:rPr>
        <w:t>14</w:t>
      </w:r>
      <w:r w:rsidRPr="00C57351">
        <w:rPr>
          <w:rFonts w:hint="eastAsia"/>
          <w:sz w:val="32"/>
          <w:szCs w:val="32"/>
        </w:rPr>
        <w:t>日內陳述意見或洽詢：</w:t>
      </w:r>
    </w:p>
    <w:p w:rsidR="00C47D8E" w:rsidRPr="00C57351" w:rsidRDefault="00C47D8E" w:rsidP="00C47D8E">
      <w:pPr>
        <w:pStyle w:val="a6"/>
        <w:numPr>
          <w:ilvl w:val="0"/>
          <w:numId w:val="4"/>
        </w:numPr>
        <w:spacing w:line="200" w:lineRule="atLeast"/>
        <w:rPr>
          <w:sz w:val="32"/>
        </w:rPr>
      </w:pPr>
      <w:r w:rsidRPr="00C57351">
        <w:rPr>
          <w:rFonts w:hint="eastAsia"/>
          <w:sz w:val="32"/>
        </w:rPr>
        <w:t>承辦單位：溫室氣體減量管理辦公室</w:t>
      </w:r>
    </w:p>
    <w:p w:rsidR="00C47D8E" w:rsidRPr="00C57351" w:rsidRDefault="00C47D8E" w:rsidP="006F47D5">
      <w:pPr>
        <w:pStyle w:val="a6"/>
        <w:numPr>
          <w:ilvl w:val="0"/>
          <w:numId w:val="4"/>
        </w:numPr>
        <w:spacing w:line="200" w:lineRule="atLeast"/>
        <w:rPr>
          <w:sz w:val="32"/>
        </w:rPr>
      </w:pPr>
      <w:r w:rsidRPr="00C57351">
        <w:rPr>
          <w:rFonts w:hint="eastAsia"/>
          <w:sz w:val="32"/>
        </w:rPr>
        <w:t>地址：</w:t>
      </w:r>
      <w:r w:rsidR="006F47D5" w:rsidRPr="00C57351">
        <w:rPr>
          <w:rFonts w:hint="eastAsia"/>
          <w:sz w:val="32"/>
        </w:rPr>
        <w:t>臺北市中正區秀山街</w:t>
      </w:r>
      <w:r w:rsidR="006F47D5" w:rsidRPr="00C57351">
        <w:rPr>
          <w:rFonts w:hint="eastAsia"/>
          <w:sz w:val="32"/>
        </w:rPr>
        <w:t>4</w:t>
      </w:r>
      <w:r w:rsidR="006F47D5" w:rsidRPr="00C57351">
        <w:rPr>
          <w:rFonts w:hint="eastAsia"/>
          <w:sz w:val="32"/>
        </w:rPr>
        <w:t>號</w:t>
      </w:r>
      <w:r w:rsidR="006F47D5" w:rsidRPr="00C57351">
        <w:rPr>
          <w:rFonts w:hint="eastAsia"/>
          <w:sz w:val="32"/>
        </w:rPr>
        <w:t>14</w:t>
      </w:r>
      <w:r w:rsidR="006F47D5" w:rsidRPr="00C57351">
        <w:rPr>
          <w:rFonts w:hint="eastAsia"/>
          <w:sz w:val="32"/>
        </w:rPr>
        <w:t>樓</w:t>
      </w:r>
    </w:p>
    <w:p w:rsidR="00C47D8E" w:rsidRPr="00C57351" w:rsidRDefault="00C47D8E" w:rsidP="00300A2A">
      <w:pPr>
        <w:pStyle w:val="a6"/>
        <w:numPr>
          <w:ilvl w:val="0"/>
          <w:numId w:val="4"/>
        </w:numPr>
        <w:spacing w:line="200" w:lineRule="atLeast"/>
        <w:rPr>
          <w:sz w:val="32"/>
        </w:rPr>
      </w:pPr>
      <w:r w:rsidRPr="00C57351">
        <w:rPr>
          <w:rFonts w:hint="eastAsia"/>
          <w:sz w:val="32"/>
        </w:rPr>
        <w:t>電話：（</w:t>
      </w:r>
      <w:r w:rsidRPr="00C57351">
        <w:rPr>
          <w:rFonts w:hint="eastAsia"/>
          <w:sz w:val="32"/>
        </w:rPr>
        <w:t>02</w:t>
      </w:r>
      <w:r w:rsidRPr="00C57351">
        <w:rPr>
          <w:rFonts w:hint="eastAsia"/>
          <w:sz w:val="32"/>
        </w:rPr>
        <w:t>）</w:t>
      </w:r>
      <w:r w:rsidRPr="00C57351">
        <w:rPr>
          <w:rFonts w:hint="eastAsia"/>
          <w:sz w:val="32"/>
        </w:rPr>
        <w:t>23712121</w:t>
      </w:r>
      <w:r w:rsidRPr="00C57351">
        <w:rPr>
          <w:rFonts w:hint="eastAsia"/>
          <w:sz w:val="32"/>
        </w:rPr>
        <w:t>分機</w:t>
      </w:r>
      <w:r w:rsidR="00300A2A" w:rsidRPr="00C57351">
        <w:rPr>
          <w:sz w:val="32"/>
        </w:rPr>
        <w:t>5209</w:t>
      </w:r>
    </w:p>
    <w:p w:rsidR="00645EAE" w:rsidRPr="00C57351" w:rsidRDefault="00C47D8E" w:rsidP="00645EAE">
      <w:pPr>
        <w:pStyle w:val="a6"/>
        <w:numPr>
          <w:ilvl w:val="0"/>
          <w:numId w:val="4"/>
        </w:numPr>
        <w:spacing w:line="200" w:lineRule="atLeast"/>
        <w:rPr>
          <w:sz w:val="32"/>
          <w:szCs w:val="32"/>
        </w:rPr>
      </w:pPr>
      <w:r w:rsidRPr="00C57351">
        <w:rPr>
          <w:sz w:val="32"/>
        </w:rPr>
        <w:t>傳真：</w:t>
      </w:r>
      <w:r w:rsidR="00645EAE" w:rsidRPr="00C57351">
        <w:rPr>
          <w:rFonts w:hint="eastAsia"/>
          <w:sz w:val="32"/>
        </w:rPr>
        <w:t>（</w:t>
      </w:r>
      <w:r w:rsidR="00645EAE" w:rsidRPr="00C57351">
        <w:rPr>
          <w:rFonts w:hint="eastAsia"/>
          <w:sz w:val="32"/>
        </w:rPr>
        <w:t>02</w:t>
      </w:r>
      <w:r w:rsidR="00645EAE" w:rsidRPr="00C57351">
        <w:rPr>
          <w:rFonts w:hint="eastAsia"/>
          <w:sz w:val="32"/>
        </w:rPr>
        <w:t>）</w:t>
      </w:r>
      <w:r w:rsidR="00645EAE" w:rsidRPr="00C57351">
        <w:rPr>
          <w:rFonts w:hint="eastAsia"/>
          <w:sz w:val="32"/>
        </w:rPr>
        <w:t>23145013</w:t>
      </w:r>
    </w:p>
    <w:p w:rsidR="00C47D8E" w:rsidRPr="00C57351" w:rsidRDefault="00C47D8E" w:rsidP="00300A2A">
      <w:pPr>
        <w:pStyle w:val="a6"/>
        <w:numPr>
          <w:ilvl w:val="0"/>
          <w:numId w:val="4"/>
        </w:numPr>
        <w:spacing w:line="200" w:lineRule="atLeast"/>
        <w:rPr>
          <w:sz w:val="32"/>
          <w:szCs w:val="32"/>
        </w:rPr>
      </w:pPr>
      <w:r w:rsidRPr="00C57351">
        <w:rPr>
          <w:rFonts w:hint="eastAsia"/>
          <w:sz w:val="32"/>
        </w:rPr>
        <w:t>電子郵件：</w:t>
      </w:r>
      <w:bookmarkStart w:id="3" w:name="署名"/>
      <w:bookmarkStart w:id="4" w:name="TEMP"/>
      <w:bookmarkEnd w:id="3"/>
      <w:bookmarkEnd w:id="4"/>
      <w:r w:rsidR="00300A2A" w:rsidRPr="00C57351">
        <w:rPr>
          <w:sz w:val="32"/>
        </w:rPr>
        <w:t>yushan.yeh@epa.gov.tw</w:t>
      </w:r>
    </w:p>
    <w:p w:rsidR="00645EAE" w:rsidRPr="00C57351" w:rsidRDefault="00645EAE" w:rsidP="00645EAE">
      <w:pPr>
        <w:pStyle w:val="a6"/>
        <w:spacing w:line="200" w:lineRule="atLeast"/>
        <w:rPr>
          <w:sz w:val="32"/>
          <w:szCs w:val="32"/>
        </w:rPr>
      </w:pPr>
    </w:p>
    <w:p w:rsidR="00C57351" w:rsidRPr="00C57351" w:rsidRDefault="00C47D8E" w:rsidP="00645EAE">
      <w:pPr>
        <w:pStyle w:val="a6"/>
        <w:spacing w:line="200" w:lineRule="atLeast"/>
        <w:ind w:leftChars="-1" w:left="-2" w:firstLine="140"/>
        <w:rPr>
          <w:sz w:val="32"/>
          <w:szCs w:val="32"/>
        </w:rPr>
      </w:pPr>
      <w:r w:rsidRPr="00C57351">
        <w:rPr>
          <w:rFonts w:hint="eastAsia"/>
          <w:sz w:val="32"/>
          <w:szCs w:val="32"/>
        </w:rPr>
        <w:t>署長魏國彥</w:t>
      </w:r>
    </w:p>
    <w:p w:rsidR="00C57351" w:rsidRPr="00C57351" w:rsidRDefault="00C57351">
      <w:pPr>
        <w:widowControl/>
        <w:rPr>
          <w:rFonts w:ascii="Times New Roman" w:eastAsia="標楷體" w:hAnsi="Times New Roman" w:cs="Times New Roman"/>
          <w:noProof/>
          <w:kern w:val="0"/>
          <w:sz w:val="32"/>
          <w:szCs w:val="32"/>
        </w:rPr>
      </w:pPr>
      <w:r w:rsidRPr="00C57351">
        <w:rPr>
          <w:sz w:val="32"/>
          <w:szCs w:val="32"/>
        </w:rPr>
        <w:br w:type="page"/>
      </w:r>
    </w:p>
    <w:p w:rsidR="00C57351" w:rsidRPr="00C57351" w:rsidRDefault="00C57351" w:rsidP="00963310">
      <w:pPr>
        <w:spacing w:afterLines="50" w:after="180" w:line="360" w:lineRule="auto"/>
        <w:jc w:val="center"/>
        <w:rPr>
          <w:rFonts w:eastAsia="標楷體" w:hint="eastAsia"/>
          <w:sz w:val="40"/>
          <w:szCs w:val="40"/>
        </w:rPr>
      </w:pPr>
      <w:r w:rsidRPr="00C57351">
        <w:rPr>
          <w:rFonts w:eastAsia="標楷體" w:hint="eastAsia"/>
          <w:sz w:val="40"/>
          <w:szCs w:val="40"/>
        </w:rPr>
        <w:lastRenderedPageBreak/>
        <w:t>第一批應盤查登錄溫室氣體排放量之排放源草案總說明</w:t>
      </w:r>
    </w:p>
    <w:p w:rsidR="00C57351" w:rsidRPr="00C57351" w:rsidRDefault="00C57351" w:rsidP="00963310">
      <w:pPr>
        <w:spacing w:line="460" w:lineRule="exact"/>
        <w:ind w:firstLine="588"/>
        <w:jc w:val="both"/>
        <w:rPr>
          <w:rFonts w:ascii="標楷體" w:eastAsia="標楷體" w:hAnsi="標楷體"/>
          <w:sz w:val="28"/>
        </w:rPr>
      </w:pPr>
      <w:r w:rsidRPr="00C57351">
        <w:rPr>
          <w:rFonts w:ascii="標楷體" w:eastAsia="標楷體" w:hAnsi="標楷體" w:hint="eastAsia"/>
          <w:sz w:val="28"/>
        </w:rPr>
        <w:t>一百零四年七月一日總統令公布溫室氣體減量及管理法（以下簡稱溫管法），為掌握二氧化碳、甲烷、氧化亞氮、氫氟碳化物、全氟碳化物、六氟化硫及三氟化氮等溫室氣體排放情形，</w:t>
      </w:r>
      <w:proofErr w:type="gramStart"/>
      <w:r w:rsidRPr="00C57351">
        <w:rPr>
          <w:rFonts w:ascii="標楷體" w:eastAsia="標楷體" w:hAnsi="標楷體" w:hint="eastAsia"/>
          <w:sz w:val="28"/>
        </w:rPr>
        <w:t>爰</w:t>
      </w:r>
      <w:proofErr w:type="gramEnd"/>
      <w:r w:rsidRPr="00C57351">
        <w:rPr>
          <w:rFonts w:ascii="標楷體" w:eastAsia="標楷體" w:hAnsi="標楷體" w:hint="eastAsia"/>
          <w:sz w:val="28"/>
        </w:rPr>
        <w:t>參</w:t>
      </w:r>
      <w:proofErr w:type="gramStart"/>
      <w:r w:rsidRPr="00C57351">
        <w:rPr>
          <w:rFonts w:ascii="標楷體" w:eastAsia="標楷體" w:hAnsi="標楷體" w:hint="eastAsia"/>
          <w:sz w:val="28"/>
        </w:rPr>
        <w:t>採</w:t>
      </w:r>
      <w:proofErr w:type="gramEnd"/>
      <w:r w:rsidRPr="00C57351">
        <w:rPr>
          <w:rFonts w:ascii="標楷體" w:eastAsia="標楷體" w:hAnsi="標楷體" w:hint="eastAsia"/>
          <w:sz w:val="28"/>
        </w:rPr>
        <w:t>國際上對溫室氣體管理作法及一百零二年開始依空氣污染防制法管制經驗，列管主要來自於製程或設施直接排放之溫室氣體排放源，擬具本公告促使我國主要溫室氣體排放源執行溫室氣體排放量盤查登錄作業。</w:t>
      </w:r>
    </w:p>
    <w:p w:rsidR="00C57351" w:rsidRPr="00C57351" w:rsidRDefault="00C57351" w:rsidP="00337DF3">
      <w:pPr>
        <w:spacing w:line="460" w:lineRule="exact"/>
        <w:jc w:val="center"/>
      </w:pPr>
      <w:r w:rsidRPr="00C57351">
        <w:rPr>
          <w:rFonts w:eastAsia="標楷體"/>
          <w:sz w:val="32"/>
        </w:rPr>
        <w:br w:type="page"/>
      </w:r>
      <w:r w:rsidRPr="00C57351">
        <w:rPr>
          <w:rFonts w:eastAsia="標楷體" w:hint="eastAsia"/>
          <w:sz w:val="40"/>
          <w:szCs w:val="40"/>
        </w:rPr>
        <w:lastRenderedPageBreak/>
        <w:t>第一批</w:t>
      </w:r>
      <w:r w:rsidRPr="00C57351">
        <w:rPr>
          <w:rFonts w:eastAsia="標楷體" w:hint="eastAsia"/>
          <w:sz w:val="40"/>
        </w:rPr>
        <w:t>應盤查登錄溫室氣體排放量之排放源草案</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585"/>
        <w:gridCol w:w="4586"/>
      </w:tblGrid>
      <w:tr w:rsidR="00C57351" w:rsidRPr="00C57351" w:rsidTr="001E39A9">
        <w:tc>
          <w:tcPr>
            <w:tcW w:w="2500" w:type="pct"/>
            <w:tcBorders>
              <w:top w:val="single" w:sz="4" w:space="0" w:color="auto"/>
              <w:bottom w:val="single" w:sz="4" w:space="0" w:color="auto"/>
              <w:right w:val="single" w:sz="4" w:space="0" w:color="auto"/>
            </w:tcBorders>
          </w:tcPr>
          <w:p w:rsidR="00C57351" w:rsidRPr="00C57351" w:rsidRDefault="00C57351" w:rsidP="00BF34DB">
            <w:pPr>
              <w:jc w:val="center"/>
              <w:rPr>
                <w:rFonts w:ascii="標楷體" w:eastAsia="標楷體" w:hAnsi="標楷體"/>
              </w:rPr>
            </w:pPr>
            <w:r w:rsidRPr="00C57351">
              <w:rPr>
                <w:rFonts w:ascii="標楷體" w:eastAsia="標楷體" w:hAnsi="標楷體"/>
              </w:rPr>
              <w:t xml:space="preserve"> </w:t>
            </w:r>
            <w:r w:rsidRPr="00C57351">
              <w:rPr>
                <w:rFonts w:ascii="標楷體" w:eastAsia="標楷體" w:hAnsi="標楷體" w:hint="eastAsia"/>
              </w:rPr>
              <w:t>公告</w:t>
            </w:r>
          </w:p>
        </w:tc>
        <w:tc>
          <w:tcPr>
            <w:tcW w:w="2500" w:type="pct"/>
            <w:tcBorders>
              <w:top w:val="single" w:sz="4" w:space="0" w:color="auto"/>
              <w:left w:val="single" w:sz="4" w:space="0" w:color="auto"/>
              <w:bottom w:val="single" w:sz="4" w:space="0" w:color="auto"/>
            </w:tcBorders>
          </w:tcPr>
          <w:p w:rsidR="00C57351" w:rsidRPr="00C57351" w:rsidRDefault="00C57351" w:rsidP="00BF34DB">
            <w:pPr>
              <w:jc w:val="center"/>
              <w:rPr>
                <w:rFonts w:ascii="標楷體" w:eastAsia="標楷體" w:hAnsi="標楷體"/>
              </w:rPr>
            </w:pPr>
            <w:r w:rsidRPr="00C57351">
              <w:rPr>
                <w:rFonts w:ascii="標楷體" w:eastAsia="標楷體" w:hAnsi="標楷體" w:hint="eastAsia"/>
              </w:rPr>
              <w:t>說明</w:t>
            </w:r>
          </w:p>
        </w:tc>
      </w:tr>
      <w:tr w:rsidR="00C57351" w:rsidRPr="00C57351" w:rsidTr="001E39A9">
        <w:trPr>
          <w:trHeight w:val="679"/>
        </w:trPr>
        <w:tc>
          <w:tcPr>
            <w:tcW w:w="2500" w:type="pct"/>
            <w:tcBorders>
              <w:top w:val="single" w:sz="4" w:space="0" w:color="auto"/>
              <w:bottom w:val="single" w:sz="4" w:space="0" w:color="auto"/>
              <w:right w:val="single" w:sz="4" w:space="0" w:color="auto"/>
            </w:tcBorders>
          </w:tcPr>
          <w:p w:rsidR="00C57351" w:rsidRPr="00C57351" w:rsidRDefault="00C57351" w:rsidP="00E132F7">
            <w:pPr>
              <w:ind w:left="720" w:hangingChars="300" w:hanging="720"/>
              <w:rPr>
                <w:rFonts w:ascii="標楷體" w:eastAsia="標楷體" w:hAnsi="標楷體"/>
                <w:bCs/>
              </w:rPr>
            </w:pPr>
            <w:r w:rsidRPr="00C57351">
              <w:rPr>
                <w:rFonts w:eastAsia="標楷體" w:hint="eastAsia"/>
                <w:bCs/>
              </w:rPr>
              <w:t>主旨：公告第一批應盤查登錄溫室氣體排放量之排放源並自即日生效。</w:t>
            </w:r>
          </w:p>
        </w:tc>
        <w:tc>
          <w:tcPr>
            <w:tcW w:w="2500" w:type="pct"/>
            <w:tcBorders>
              <w:top w:val="single" w:sz="4" w:space="0" w:color="auto"/>
              <w:left w:val="single" w:sz="4" w:space="0" w:color="auto"/>
              <w:bottom w:val="single" w:sz="4" w:space="0" w:color="auto"/>
            </w:tcBorders>
          </w:tcPr>
          <w:p w:rsidR="00C57351" w:rsidRPr="00C57351" w:rsidRDefault="00C57351" w:rsidP="00BF34DB">
            <w:pPr>
              <w:snapToGrid w:val="0"/>
              <w:jc w:val="both"/>
              <w:rPr>
                <w:rFonts w:ascii="標楷體" w:eastAsia="標楷體" w:hAnsi="標楷體"/>
              </w:rPr>
            </w:pPr>
            <w:r w:rsidRPr="00C57351">
              <w:rPr>
                <w:rFonts w:ascii="標楷體" w:eastAsia="標楷體" w:hAnsi="標楷體" w:hint="eastAsia"/>
              </w:rPr>
              <w:t>公告名稱。</w:t>
            </w:r>
          </w:p>
        </w:tc>
      </w:tr>
      <w:tr w:rsidR="00C57351" w:rsidRPr="00C57351" w:rsidTr="001E39A9">
        <w:trPr>
          <w:trHeight w:val="475"/>
        </w:trPr>
        <w:tc>
          <w:tcPr>
            <w:tcW w:w="2500" w:type="pct"/>
            <w:tcBorders>
              <w:top w:val="single" w:sz="4" w:space="0" w:color="auto"/>
              <w:bottom w:val="single" w:sz="4" w:space="0" w:color="auto"/>
              <w:right w:val="single" w:sz="4" w:space="0" w:color="auto"/>
            </w:tcBorders>
            <w:vAlign w:val="center"/>
          </w:tcPr>
          <w:p w:rsidR="00C57351" w:rsidRPr="00C57351" w:rsidRDefault="00C57351" w:rsidP="00BF34DB">
            <w:pPr>
              <w:ind w:left="720" w:hangingChars="300" w:hanging="720"/>
              <w:rPr>
                <w:rFonts w:ascii="標楷體" w:eastAsia="標楷體" w:hAnsi="標楷體"/>
              </w:rPr>
            </w:pPr>
            <w:r w:rsidRPr="00C57351">
              <w:rPr>
                <w:rFonts w:ascii="標楷體" w:eastAsia="標楷體" w:hAnsi="標楷體" w:hint="eastAsia"/>
              </w:rPr>
              <w:t>依據：溫室氣體減量及管理法第十六條第一項。</w:t>
            </w:r>
          </w:p>
        </w:tc>
        <w:tc>
          <w:tcPr>
            <w:tcW w:w="2500" w:type="pct"/>
            <w:tcBorders>
              <w:top w:val="single" w:sz="4" w:space="0" w:color="auto"/>
              <w:left w:val="single" w:sz="4" w:space="0" w:color="auto"/>
              <w:bottom w:val="single" w:sz="4" w:space="0" w:color="auto"/>
            </w:tcBorders>
            <w:vAlign w:val="center"/>
          </w:tcPr>
          <w:p w:rsidR="00C57351" w:rsidRPr="00C57351" w:rsidRDefault="00C57351" w:rsidP="00BF34DB">
            <w:pPr>
              <w:snapToGrid w:val="0"/>
              <w:jc w:val="both"/>
              <w:rPr>
                <w:rFonts w:ascii="標楷體" w:eastAsia="標楷體" w:hAnsi="標楷體"/>
              </w:rPr>
            </w:pPr>
            <w:r w:rsidRPr="00C57351">
              <w:rPr>
                <w:rFonts w:ascii="標楷體" w:eastAsia="標楷體" w:hAnsi="標楷體" w:hint="eastAsia"/>
              </w:rPr>
              <w:t>法源依據。</w:t>
            </w:r>
          </w:p>
        </w:tc>
      </w:tr>
      <w:tr w:rsidR="00C57351" w:rsidRPr="00C57351" w:rsidTr="001E39A9">
        <w:tc>
          <w:tcPr>
            <w:tcW w:w="2500" w:type="pct"/>
            <w:tcBorders>
              <w:top w:val="single" w:sz="4" w:space="0" w:color="auto"/>
              <w:bottom w:val="single" w:sz="4" w:space="0" w:color="auto"/>
              <w:right w:val="single" w:sz="4" w:space="0" w:color="auto"/>
            </w:tcBorders>
          </w:tcPr>
          <w:p w:rsidR="00C57351" w:rsidRPr="00C57351" w:rsidRDefault="00C57351" w:rsidP="00BF34DB">
            <w:pPr>
              <w:ind w:left="720" w:hangingChars="300" w:hanging="720"/>
              <w:jc w:val="both"/>
              <w:rPr>
                <w:rFonts w:ascii="標楷體" w:eastAsia="標楷體" w:hAnsi="標楷體" w:hint="eastAsia"/>
              </w:rPr>
            </w:pPr>
            <w:r w:rsidRPr="00C57351">
              <w:rPr>
                <w:rFonts w:ascii="標楷體" w:eastAsia="標楷體" w:hAnsi="標楷體" w:hint="eastAsia"/>
              </w:rPr>
              <w:t>公告事項：</w:t>
            </w:r>
          </w:p>
          <w:p w:rsidR="00C57351" w:rsidRPr="00C57351" w:rsidRDefault="00C57351" w:rsidP="00E132F7">
            <w:pPr>
              <w:ind w:leftChars="-122" w:left="427" w:hangingChars="300" w:hanging="720"/>
              <w:jc w:val="both"/>
              <w:rPr>
                <w:rFonts w:ascii="標楷體" w:eastAsia="標楷體" w:hAnsi="標楷體"/>
              </w:rPr>
            </w:pPr>
            <w:r w:rsidRPr="00C57351">
              <w:rPr>
                <w:rFonts w:ascii="標楷體" w:eastAsia="標楷體" w:hAnsi="標楷體" w:hint="eastAsia"/>
              </w:rPr>
              <w:t xml:space="preserve">  </w:t>
            </w:r>
            <w:r w:rsidRPr="00C57351">
              <w:rPr>
                <w:rFonts w:ascii="標楷體" w:eastAsia="標楷體" w:hAnsi="標楷體"/>
              </w:rPr>
              <w:tab/>
            </w:r>
            <w:r w:rsidRPr="00C57351">
              <w:rPr>
                <w:rFonts w:eastAsia="標楷體" w:hint="eastAsia"/>
                <w:bCs/>
              </w:rPr>
              <w:t>第一批應盤查登錄溫室氣體排放量之排放源，如附表。</w:t>
            </w:r>
          </w:p>
        </w:tc>
        <w:tc>
          <w:tcPr>
            <w:tcW w:w="2500" w:type="pct"/>
            <w:tcBorders>
              <w:top w:val="single" w:sz="4" w:space="0" w:color="auto"/>
              <w:left w:val="single" w:sz="4" w:space="0" w:color="auto"/>
              <w:bottom w:val="single" w:sz="4" w:space="0" w:color="auto"/>
            </w:tcBorders>
          </w:tcPr>
          <w:p w:rsidR="00C57351" w:rsidRPr="00C57351" w:rsidRDefault="00C57351" w:rsidP="00BF34DB">
            <w:pPr>
              <w:tabs>
                <w:tab w:val="left" w:pos="1080"/>
              </w:tabs>
              <w:snapToGrid w:val="0"/>
              <w:ind w:left="334" w:hangingChars="139" w:hanging="334"/>
              <w:jc w:val="both"/>
              <w:rPr>
                <w:rFonts w:ascii="標楷體" w:eastAsia="標楷體" w:hAnsi="標楷體" w:hint="eastAsia"/>
              </w:rPr>
            </w:pPr>
            <w:r w:rsidRPr="00C57351">
              <w:rPr>
                <w:rFonts w:eastAsia="標楷體" w:hint="eastAsia"/>
              </w:rPr>
              <w:t>一、適用對象</w:t>
            </w:r>
            <w:r w:rsidRPr="00C57351">
              <w:rPr>
                <w:rFonts w:ascii="標楷體" w:eastAsia="標楷體" w:hAnsi="標楷體" w:hint="eastAsia"/>
              </w:rPr>
              <w:t>。</w:t>
            </w:r>
          </w:p>
          <w:p w:rsidR="00C57351" w:rsidRPr="00C57351" w:rsidRDefault="00C57351" w:rsidP="00542BC7">
            <w:pPr>
              <w:tabs>
                <w:tab w:val="left" w:pos="1080"/>
              </w:tabs>
              <w:snapToGrid w:val="0"/>
              <w:ind w:left="451" w:hangingChars="188" w:hanging="451"/>
              <w:jc w:val="both"/>
              <w:rPr>
                <w:rFonts w:eastAsia="標楷體" w:hint="eastAsia"/>
              </w:rPr>
            </w:pPr>
            <w:r w:rsidRPr="00C57351">
              <w:rPr>
                <w:rFonts w:eastAsia="標楷體" w:hint="eastAsia"/>
              </w:rPr>
              <w:t>二、本公告納管對象係整合依空氣污染防制法公告兩批次「公私場所應申報溫室氣體排放量之固定污染源」，其依一百零三年申報資料統計，計列管二百六十五家，預估可掌握百分之八十以上我國工業及能源部門化石燃料燃燒產生溫室氣體之排放量。</w:t>
            </w:r>
            <w:r w:rsidRPr="00C57351">
              <w:rPr>
                <w:rFonts w:eastAsia="標楷體" w:hint="eastAsia"/>
              </w:rPr>
              <w:t xml:space="preserve"> </w:t>
            </w:r>
          </w:p>
          <w:p w:rsidR="00C57351" w:rsidRPr="00C57351" w:rsidRDefault="00C57351" w:rsidP="00E72AE6">
            <w:pPr>
              <w:tabs>
                <w:tab w:val="left" w:pos="1080"/>
              </w:tabs>
              <w:snapToGrid w:val="0"/>
              <w:ind w:left="451" w:hangingChars="188" w:hanging="451"/>
              <w:jc w:val="both"/>
              <w:rPr>
                <w:rFonts w:eastAsia="標楷體"/>
              </w:rPr>
            </w:pPr>
            <w:r w:rsidRPr="00C57351">
              <w:rPr>
                <w:rFonts w:eastAsia="標楷體" w:hint="eastAsia"/>
              </w:rPr>
              <w:t>三、第一批應盤查登錄溫室氣體排放量之排放源，以能源密集及主要耗能產業等大規模排放源為主，包含電力、鋼鐵、水泥、半導體、薄膜電晶體液晶顯示器、石油煉製等行業；另參</w:t>
            </w:r>
            <w:proofErr w:type="gramStart"/>
            <w:r w:rsidRPr="00C57351">
              <w:rPr>
                <w:rFonts w:eastAsia="標楷體" w:hint="eastAsia"/>
              </w:rPr>
              <w:t>採</w:t>
            </w:r>
            <w:proofErr w:type="gramEnd"/>
            <w:r w:rsidRPr="00C57351">
              <w:rPr>
                <w:rFonts w:eastAsia="標楷體" w:hint="eastAsia"/>
              </w:rPr>
              <w:t>國際作法以化石燃料燃燒產生溫室氣體年排放量達二．五萬公噸二氧化碳當量以上為門檻，納管</w:t>
            </w:r>
            <w:proofErr w:type="gramStart"/>
            <w:r w:rsidRPr="00C57351">
              <w:rPr>
                <w:rFonts w:eastAsia="標楷體" w:hint="eastAsia"/>
              </w:rPr>
              <w:t>行業別含石油</w:t>
            </w:r>
            <w:proofErr w:type="gramEnd"/>
            <w:r w:rsidRPr="00C57351">
              <w:rPr>
                <w:rFonts w:eastAsia="標楷體" w:hint="eastAsia"/>
              </w:rPr>
              <w:t>化工原料製造、人造纖維製造、紙漿、紙及紙製品製造等行業</w:t>
            </w:r>
            <w:r w:rsidRPr="00C57351">
              <w:rPr>
                <w:rFonts w:eastAsia="標楷體"/>
              </w:rPr>
              <w:tab/>
            </w:r>
            <w:r w:rsidRPr="00C57351">
              <w:rPr>
                <w:rFonts w:eastAsia="標楷體" w:hint="eastAsia"/>
              </w:rPr>
              <w:t>及其他排放源。</w:t>
            </w:r>
          </w:p>
        </w:tc>
      </w:tr>
    </w:tbl>
    <w:p w:rsidR="00C57351" w:rsidRPr="00C57351" w:rsidRDefault="00C57351" w:rsidP="00BD171A">
      <w:pPr>
        <w:pStyle w:val="aa"/>
        <w:spacing w:line="276" w:lineRule="auto"/>
        <w:ind w:left="500" w:rightChars="-95" w:right="-228" w:hanging="668"/>
        <w:rPr>
          <w:rFonts w:ascii="標楷體" w:eastAsia="標楷體"/>
          <w:sz w:val="28"/>
          <w:szCs w:val="28"/>
        </w:rPr>
      </w:pPr>
      <w:r w:rsidRPr="00C57351">
        <w:rPr>
          <w:rFonts w:eastAsia="標楷體"/>
          <w:kern w:val="2"/>
          <w:szCs w:val="22"/>
        </w:rPr>
        <w:br w:type="page"/>
      </w:r>
      <w:r w:rsidRPr="00C57351">
        <w:rPr>
          <w:rFonts w:ascii="標楷體" w:eastAsia="標楷體" w:hint="eastAsia"/>
          <w:sz w:val="28"/>
          <w:szCs w:val="28"/>
        </w:rPr>
        <w:lastRenderedPageBreak/>
        <w:t>附表</w:t>
      </w:r>
      <w:r w:rsidRPr="00C57351">
        <w:rPr>
          <w:rFonts w:ascii="標楷體" w:eastAsia="標楷體" w:hAnsi="標楷體" w:hint="eastAsia"/>
          <w:sz w:val="28"/>
          <w:szCs w:val="28"/>
        </w:rPr>
        <w:t>:</w:t>
      </w:r>
      <w:r w:rsidRPr="00C57351">
        <w:rPr>
          <w:rFonts w:ascii="標楷體" w:eastAsia="標楷體" w:hint="eastAsia"/>
          <w:sz w:val="28"/>
          <w:szCs w:val="28"/>
        </w:rPr>
        <w:t>第一批應盤查登錄溫室氣體排放量之排放源草案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1467"/>
        <w:gridCol w:w="1982"/>
        <w:gridCol w:w="3094"/>
        <w:gridCol w:w="1792"/>
      </w:tblGrid>
      <w:tr w:rsidR="00C57351" w:rsidRPr="00C57351" w:rsidTr="005C0815">
        <w:trPr>
          <w:trHeight w:val="194"/>
        </w:trPr>
        <w:tc>
          <w:tcPr>
            <w:tcW w:w="534" w:type="pct"/>
            <w:vMerge w:val="restart"/>
            <w:vAlign w:val="center"/>
          </w:tcPr>
          <w:p w:rsidR="00C57351" w:rsidRPr="00C57351" w:rsidRDefault="00C57351" w:rsidP="005C0815">
            <w:pPr>
              <w:tabs>
                <w:tab w:val="left" w:pos="1080"/>
              </w:tabs>
              <w:snapToGrid w:val="0"/>
              <w:jc w:val="center"/>
              <w:rPr>
                <w:rFonts w:ascii="標楷體" w:eastAsia="標楷體" w:hAnsi="標楷體" w:hint="eastAsia"/>
              </w:rPr>
            </w:pPr>
            <w:r w:rsidRPr="00C57351">
              <w:rPr>
                <w:rFonts w:ascii="標楷體" w:eastAsia="標楷體" w:hAnsi="標楷體" w:hint="eastAsia"/>
              </w:rPr>
              <w:t>批次</w:t>
            </w:r>
          </w:p>
        </w:tc>
        <w:tc>
          <w:tcPr>
            <w:tcW w:w="1848" w:type="pct"/>
            <w:gridSpan w:val="2"/>
            <w:shd w:val="clear" w:color="auto" w:fill="auto"/>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溫室氣體排放源</w:t>
            </w:r>
          </w:p>
        </w:tc>
        <w:tc>
          <w:tcPr>
            <w:tcW w:w="1658" w:type="pct"/>
            <w:vMerge w:val="restart"/>
            <w:shd w:val="clear" w:color="auto" w:fill="auto"/>
            <w:vAlign w:val="center"/>
          </w:tcPr>
          <w:p w:rsidR="00C57351" w:rsidRPr="00C57351" w:rsidRDefault="00C57351" w:rsidP="00BF34DB">
            <w:pPr>
              <w:tabs>
                <w:tab w:val="left" w:pos="1080"/>
              </w:tabs>
              <w:snapToGrid w:val="0"/>
              <w:jc w:val="center"/>
              <w:rPr>
                <w:rFonts w:ascii="標楷體" w:eastAsia="標楷體" w:hAnsi="標楷體"/>
              </w:rPr>
            </w:pPr>
            <w:r w:rsidRPr="00C57351">
              <w:rPr>
                <w:rFonts w:ascii="標楷體" w:eastAsia="標楷體" w:hAnsi="標楷體" w:hint="eastAsia"/>
              </w:rPr>
              <w:t>條件說明</w:t>
            </w:r>
          </w:p>
        </w:tc>
        <w:tc>
          <w:tcPr>
            <w:tcW w:w="960" w:type="pct"/>
            <w:vMerge w:val="restart"/>
            <w:shd w:val="clear" w:color="auto" w:fill="auto"/>
            <w:vAlign w:val="center"/>
          </w:tcPr>
          <w:p w:rsidR="00C57351" w:rsidRPr="00C57351" w:rsidRDefault="00C57351" w:rsidP="00BF34DB">
            <w:pPr>
              <w:tabs>
                <w:tab w:val="left" w:pos="1080"/>
              </w:tabs>
              <w:snapToGrid w:val="0"/>
              <w:jc w:val="center"/>
              <w:rPr>
                <w:rFonts w:ascii="標楷體" w:eastAsia="標楷體" w:hAnsi="標楷體" w:hint="eastAsia"/>
              </w:rPr>
            </w:pPr>
            <w:r w:rsidRPr="00C57351">
              <w:rPr>
                <w:rFonts w:ascii="標楷體" w:eastAsia="標楷體" w:hAnsi="標楷體" w:hint="eastAsia"/>
              </w:rPr>
              <w:t>計算說明</w:t>
            </w:r>
          </w:p>
        </w:tc>
      </w:tr>
      <w:tr w:rsidR="00C57351" w:rsidRPr="00C57351" w:rsidTr="005C0815">
        <w:trPr>
          <w:trHeight w:val="55"/>
          <w:tblHeader/>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shd w:val="clear" w:color="auto" w:fill="auto"/>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行業別</w:t>
            </w:r>
          </w:p>
        </w:tc>
        <w:tc>
          <w:tcPr>
            <w:tcW w:w="1062" w:type="pct"/>
            <w:shd w:val="clear" w:color="auto" w:fill="auto"/>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製程別</w:t>
            </w:r>
          </w:p>
        </w:tc>
        <w:tc>
          <w:tcPr>
            <w:tcW w:w="1658" w:type="pct"/>
            <w:vMerge/>
            <w:shd w:val="clear" w:color="auto" w:fill="auto"/>
            <w:vAlign w:val="center"/>
          </w:tcPr>
          <w:p w:rsidR="00C57351" w:rsidRPr="00C57351" w:rsidRDefault="00C57351" w:rsidP="00BF34DB">
            <w:pPr>
              <w:tabs>
                <w:tab w:val="left" w:pos="1080"/>
              </w:tabs>
              <w:snapToGrid w:val="0"/>
              <w:jc w:val="center"/>
              <w:rPr>
                <w:rFonts w:ascii="標楷體" w:eastAsia="標楷體" w:hAnsi="標楷體"/>
              </w:rPr>
            </w:pPr>
          </w:p>
        </w:tc>
        <w:tc>
          <w:tcPr>
            <w:tcW w:w="960" w:type="pct"/>
            <w:vMerge/>
            <w:shd w:val="clear" w:color="auto" w:fill="auto"/>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c>
          <w:tcPr>
            <w:tcW w:w="534" w:type="pct"/>
            <w:vMerge w:val="restart"/>
            <w:vAlign w:val="center"/>
          </w:tcPr>
          <w:p w:rsidR="00C57351" w:rsidRPr="00C57351" w:rsidRDefault="00C57351" w:rsidP="005C0815">
            <w:pPr>
              <w:tabs>
                <w:tab w:val="left" w:pos="1080"/>
              </w:tabs>
              <w:snapToGrid w:val="0"/>
              <w:jc w:val="center"/>
              <w:rPr>
                <w:rFonts w:ascii="標楷體" w:eastAsia="標楷體" w:hAnsi="標楷體" w:hint="eastAsia"/>
              </w:rPr>
            </w:pPr>
            <w:r w:rsidRPr="00C57351">
              <w:rPr>
                <w:rFonts w:ascii="標楷體" w:eastAsia="標楷體" w:hAnsi="標楷體" w:hint="eastAsia"/>
              </w:rPr>
              <w:t>第一批</w:t>
            </w:r>
          </w:p>
        </w:tc>
        <w:tc>
          <w:tcPr>
            <w:tcW w:w="786" w:type="pct"/>
            <w:vMerge w:val="restar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發電業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汽力機組鍋爐發電程序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指具備汽力機組鍋爐發電程序且採用化石燃料者。</w:t>
            </w:r>
          </w:p>
        </w:tc>
        <w:tc>
          <w:tcPr>
            <w:tcW w:w="960" w:type="pct"/>
            <w:vMerge w:val="restart"/>
            <w:vAlign w:val="center"/>
          </w:tcPr>
          <w:p w:rsidR="00C57351" w:rsidRPr="00C57351" w:rsidRDefault="00C57351" w:rsidP="00BF34DB">
            <w:pPr>
              <w:tabs>
                <w:tab w:val="left" w:pos="1080"/>
              </w:tabs>
              <w:snapToGrid w:val="0"/>
              <w:ind w:left="480" w:hangingChars="200" w:hanging="480"/>
              <w:rPr>
                <w:rFonts w:ascii="標楷體" w:eastAsia="標楷體" w:hAnsi="標楷體" w:hint="eastAsia"/>
              </w:rPr>
            </w:pPr>
            <w:r w:rsidRPr="00C57351">
              <w:rPr>
                <w:rFonts w:ascii="標楷體" w:eastAsia="標楷體" w:hAnsi="標楷體" w:hint="eastAsia"/>
              </w:rPr>
              <w:t>一、溫室氣體排放源具有左列任</w:t>
            </w:r>
            <w:proofErr w:type="gramStart"/>
            <w:r w:rsidRPr="00C57351">
              <w:rPr>
                <w:rFonts w:ascii="標楷體" w:eastAsia="標楷體" w:hAnsi="標楷體" w:hint="eastAsia"/>
              </w:rPr>
              <w:t>一</w:t>
            </w:r>
            <w:proofErr w:type="gramEnd"/>
            <w:r w:rsidRPr="00C57351">
              <w:rPr>
                <w:rFonts w:ascii="標楷體" w:eastAsia="標楷體" w:hAnsi="標楷體" w:hint="eastAsia"/>
              </w:rPr>
              <w:t>製程或設備者，應依規定進行全廠</w:t>
            </w:r>
            <w:r w:rsidRPr="00C57351">
              <w:rPr>
                <w:rFonts w:ascii="標楷體" w:eastAsia="標楷體" w:hAnsi="標楷體"/>
              </w:rPr>
              <w:t>(</w:t>
            </w:r>
            <w:r w:rsidRPr="00C57351">
              <w:rPr>
                <w:rFonts w:ascii="標楷體" w:eastAsia="標楷體" w:hAnsi="標楷體" w:hint="eastAsia"/>
              </w:rPr>
              <w:t>場</w:t>
            </w:r>
            <w:r w:rsidRPr="00C57351">
              <w:rPr>
                <w:rFonts w:ascii="標楷體" w:eastAsia="標楷體" w:hAnsi="標楷體"/>
              </w:rPr>
              <w:t>)</w:t>
            </w:r>
            <w:r w:rsidRPr="00C57351">
              <w:rPr>
                <w:rFonts w:ascii="標楷體" w:eastAsia="標楷體" w:hAnsi="標楷體" w:hint="eastAsia"/>
              </w:rPr>
              <w:t xml:space="preserve"> 溫室氣體年排放量盤查及登錄。</w:t>
            </w:r>
          </w:p>
          <w:p w:rsidR="00C57351" w:rsidRPr="00C57351" w:rsidRDefault="00C57351" w:rsidP="00BF34DB">
            <w:pPr>
              <w:tabs>
                <w:tab w:val="left" w:pos="1080"/>
              </w:tabs>
              <w:snapToGrid w:val="0"/>
              <w:ind w:left="480" w:hangingChars="200" w:hanging="480"/>
              <w:rPr>
                <w:rFonts w:ascii="標楷體" w:eastAsia="標楷體" w:hAnsi="標楷體"/>
              </w:rPr>
            </w:pPr>
            <w:r w:rsidRPr="00C57351">
              <w:rPr>
                <w:rFonts w:ascii="標楷體" w:eastAsia="標楷體" w:hAnsi="標楷體" w:hint="eastAsia"/>
              </w:rPr>
              <w:t>二、溫室氣體排放源應依下列計算方式，判定全廠</w:t>
            </w:r>
            <w:r w:rsidRPr="00C57351">
              <w:rPr>
                <w:rFonts w:ascii="標楷體" w:eastAsia="標楷體" w:hAnsi="標楷體"/>
              </w:rPr>
              <w:t>(</w:t>
            </w:r>
            <w:r w:rsidRPr="00C57351">
              <w:rPr>
                <w:rFonts w:ascii="標楷體" w:eastAsia="標楷體" w:hAnsi="標楷體" w:hint="eastAsia"/>
              </w:rPr>
              <w:t>場</w:t>
            </w:r>
            <w:r w:rsidRPr="00C57351">
              <w:rPr>
                <w:rFonts w:ascii="標楷體" w:eastAsia="標楷體" w:hAnsi="標楷體"/>
              </w:rPr>
              <w:t>)</w:t>
            </w:r>
            <w:r w:rsidRPr="00C57351">
              <w:rPr>
                <w:rFonts w:ascii="標楷體" w:eastAsia="標楷體" w:hAnsi="標楷體" w:hint="eastAsia"/>
              </w:rPr>
              <w:t xml:space="preserve"> 化石燃料燃燒產生溫室氣體年排放量是否達一定門檻：</w:t>
            </w:r>
          </w:p>
          <w:p w:rsidR="00C57351" w:rsidRPr="00C57351" w:rsidRDefault="00C57351" w:rsidP="00BF34DB">
            <w:pPr>
              <w:tabs>
                <w:tab w:val="left" w:pos="1080"/>
              </w:tabs>
              <w:snapToGrid w:val="0"/>
              <w:ind w:leftChars="200" w:left="480" w:firstLineChars="200" w:firstLine="480"/>
              <w:rPr>
                <w:rFonts w:ascii="標楷體" w:eastAsia="標楷體" w:hAnsi="標楷體"/>
              </w:rPr>
            </w:pPr>
            <w:r w:rsidRPr="00C57351">
              <w:rPr>
                <w:rFonts w:ascii="標楷體" w:eastAsia="標楷體" w:hAnsi="標楷體" w:hint="eastAsia"/>
              </w:rPr>
              <w:t>溫室氣體年排放量（公噸二氧化碳當量</w:t>
            </w:r>
            <w:r w:rsidRPr="00C57351">
              <w:rPr>
                <w:rFonts w:ascii="標楷體" w:eastAsia="標楷體" w:hAnsi="標楷體"/>
              </w:rPr>
              <w:t>/</w:t>
            </w:r>
            <w:r w:rsidRPr="00C57351">
              <w:rPr>
                <w:rFonts w:ascii="標楷體" w:eastAsia="標楷體" w:hAnsi="標楷體" w:hint="eastAsia"/>
              </w:rPr>
              <w:t>年）＝當年原（物）料、燃料使用量、產品產量或其他經主管機關認定之操作量（公噸、公秉或千立方公尺</w:t>
            </w:r>
            <w:r w:rsidRPr="00C57351">
              <w:rPr>
                <w:rFonts w:ascii="標楷體" w:eastAsia="標楷體" w:hAnsi="標楷體"/>
              </w:rPr>
              <w:t>/</w:t>
            </w:r>
            <w:r w:rsidRPr="00C57351">
              <w:rPr>
                <w:rFonts w:ascii="標楷體" w:eastAsia="標楷體" w:hAnsi="標楷體" w:hint="eastAsia"/>
              </w:rPr>
              <w:t>年）×排放係數</w:t>
            </w:r>
            <w:r w:rsidRPr="00C57351">
              <w:rPr>
                <w:rFonts w:ascii="標楷體" w:eastAsia="標楷體" w:hAnsi="標楷體" w:hint="eastAsia"/>
              </w:rPr>
              <w:lastRenderedPageBreak/>
              <w:t>（公噸</w:t>
            </w:r>
            <w:r w:rsidRPr="00C57351">
              <w:rPr>
                <w:rFonts w:ascii="標楷體" w:eastAsia="標楷體" w:hAnsi="標楷體"/>
              </w:rPr>
              <w:t>/</w:t>
            </w:r>
            <w:r w:rsidRPr="00C57351">
              <w:rPr>
                <w:rFonts w:ascii="標楷體" w:eastAsia="標楷體" w:hAnsi="標楷體" w:hint="eastAsia"/>
              </w:rPr>
              <w:t>公噸、公秉/公噸或千立方公尺/公噸）×</w:t>
            </w:r>
            <w:proofErr w:type="gramStart"/>
            <w:r w:rsidRPr="00C57351">
              <w:rPr>
                <w:rFonts w:ascii="標楷體" w:eastAsia="標楷體" w:hAnsi="標楷體" w:hint="eastAsia"/>
              </w:rPr>
              <w:t>溫暖化潛勢</w:t>
            </w:r>
            <w:proofErr w:type="gramEnd"/>
          </w:p>
          <w:p w:rsidR="00C57351" w:rsidRPr="00C57351" w:rsidRDefault="00C57351" w:rsidP="00E13102">
            <w:pPr>
              <w:tabs>
                <w:tab w:val="left" w:pos="1080"/>
              </w:tabs>
              <w:snapToGrid w:val="0"/>
              <w:ind w:leftChars="200" w:left="480" w:firstLineChars="200" w:firstLine="480"/>
              <w:rPr>
                <w:rFonts w:ascii="標楷體" w:eastAsia="標楷體" w:hAnsi="標楷體" w:hint="eastAsia"/>
              </w:rPr>
            </w:pPr>
            <w:r w:rsidRPr="00C57351">
              <w:rPr>
                <w:rFonts w:ascii="標楷體" w:eastAsia="標楷體" w:hAnsi="標楷體" w:hint="eastAsia"/>
              </w:rPr>
              <w:t>前項原（物）料、燃料使用量、產品產量或其他經主管機關認定之操作量，應依據前一年度實際活動數據計算之。但公告後始設立之溫室氣體排放源，其活動數據應採用最大設計值。</w:t>
            </w:r>
          </w:p>
        </w:tc>
      </w:tr>
      <w:tr w:rsidR="00C57351" w:rsidRPr="00C57351" w:rsidTr="005C0815">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ign w:val="center"/>
          </w:tcPr>
          <w:p w:rsidR="00C57351" w:rsidRPr="00C57351" w:rsidRDefault="00C57351" w:rsidP="002D142E">
            <w:pPr>
              <w:tabs>
                <w:tab w:val="left" w:pos="1080"/>
              </w:tabs>
              <w:snapToGrid w:val="0"/>
              <w:jc w:val="center"/>
              <w:rPr>
                <w:rFonts w:ascii="標楷體" w:eastAsia="標楷體" w:hAnsi="標楷體" w:hint="eastAsia"/>
              </w:rPr>
            </w:pP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proofErr w:type="gramStart"/>
            <w:r w:rsidRPr="00C57351">
              <w:rPr>
                <w:rFonts w:ascii="標楷體" w:eastAsia="標楷體" w:hAnsi="標楷體" w:hint="eastAsia"/>
              </w:rPr>
              <w:t>複</w:t>
            </w:r>
            <w:proofErr w:type="gramEnd"/>
            <w:r w:rsidRPr="00C57351">
              <w:rPr>
                <w:rFonts w:ascii="標楷體" w:eastAsia="標楷體" w:hAnsi="標楷體" w:hint="eastAsia"/>
              </w:rPr>
              <w:t>循環機組發電程序</w:t>
            </w:r>
          </w:p>
        </w:tc>
        <w:tc>
          <w:tcPr>
            <w:tcW w:w="1658" w:type="pct"/>
            <w:vAlign w:val="center"/>
          </w:tcPr>
          <w:p w:rsidR="00C57351" w:rsidRPr="00C57351" w:rsidRDefault="00C57351" w:rsidP="00BF34DB">
            <w:pPr>
              <w:tabs>
                <w:tab w:val="left" w:pos="1080"/>
              </w:tabs>
              <w:snapToGrid w:val="0"/>
              <w:rPr>
                <w:rFonts w:ascii="標楷體" w:eastAsia="標楷體" w:hAnsi="標楷體" w:hint="eastAsia"/>
              </w:rPr>
            </w:pPr>
            <w:r w:rsidRPr="00C57351">
              <w:rPr>
                <w:rFonts w:ascii="標楷體" w:eastAsia="標楷體" w:hAnsi="標楷體" w:hint="eastAsia"/>
              </w:rPr>
              <w:t>指具備</w:t>
            </w:r>
            <w:proofErr w:type="gramStart"/>
            <w:r w:rsidRPr="00C57351">
              <w:rPr>
                <w:rFonts w:ascii="標楷體" w:eastAsia="標楷體" w:hAnsi="標楷體" w:hint="eastAsia"/>
              </w:rPr>
              <w:t>複</w:t>
            </w:r>
            <w:proofErr w:type="gramEnd"/>
            <w:r w:rsidRPr="00C57351">
              <w:rPr>
                <w:rFonts w:ascii="標楷體" w:eastAsia="標楷體" w:hAnsi="標楷體" w:hint="eastAsia"/>
              </w:rPr>
              <w:t>循環機組發電程序且採用化石燃料者。</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restar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鋼鐵業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一貫煉鋼</w:t>
            </w:r>
            <w:proofErr w:type="gramStart"/>
            <w:r w:rsidRPr="00C57351">
              <w:rPr>
                <w:rFonts w:ascii="標楷體" w:eastAsia="標楷體" w:hAnsi="標楷體" w:hint="eastAsia"/>
              </w:rPr>
              <w:t>鋼</w:t>
            </w:r>
            <w:proofErr w:type="gramEnd"/>
            <w:r w:rsidRPr="00C57351">
              <w:rPr>
                <w:rFonts w:ascii="標楷體" w:eastAsia="標楷體" w:hAnsi="標楷體" w:hint="eastAsia"/>
              </w:rPr>
              <w:t>胚生產程序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指包含煉鐵、煉鋼、熱軋、冷軋等程序，且生產</w:t>
            </w:r>
            <w:proofErr w:type="gramStart"/>
            <w:r w:rsidRPr="00C57351">
              <w:rPr>
                <w:rFonts w:ascii="標楷體" w:eastAsia="標楷體" w:hAnsi="標楷體" w:hint="eastAsia"/>
              </w:rPr>
              <w:t>鋼胚者</w:t>
            </w:r>
            <w:proofErr w:type="gramEnd"/>
            <w:r w:rsidRPr="00C57351">
              <w:rPr>
                <w:rFonts w:ascii="標楷體" w:eastAsia="標楷體" w:hAnsi="標楷體" w:hint="eastAsia"/>
              </w:rPr>
              <w:t>。</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ign w:val="center"/>
          </w:tcPr>
          <w:p w:rsidR="00C57351" w:rsidRPr="00C57351" w:rsidRDefault="00C57351" w:rsidP="002D142E">
            <w:pPr>
              <w:tabs>
                <w:tab w:val="left" w:pos="1080"/>
              </w:tabs>
              <w:snapToGrid w:val="0"/>
              <w:jc w:val="center"/>
              <w:rPr>
                <w:rFonts w:ascii="標楷體" w:eastAsia="標楷體" w:hAnsi="標楷體" w:hint="eastAsia"/>
              </w:rPr>
            </w:pP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proofErr w:type="gramStart"/>
            <w:r w:rsidRPr="00C57351">
              <w:rPr>
                <w:rFonts w:ascii="標楷體" w:eastAsia="標楷體" w:hAnsi="標楷體" w:hint="eastAsia"/>
              </w:rPr>
              <w:t>電弧爐碳鋼鋼</w:t>
            </w:r>
            <w:proofErr w:type="gramEnd"/>
            <w:r w:rsidRPr="00C57351">
              <w:rPr>
                <w:rFonts w:ascii="標楷體" w:eastAsia="標楷體" w:hAnsi="標楷體" w:hint="eastAsia"/>
              </w:rPr>
              <w:t>胚生產程序</w:t>
            </w:r>
          </w:p>
        </w:tc>
        <w:tc>
          <w:tcPr>
            <w:tcW w:w="1658" w:type="pct"/>
            <w:vAlign w:val="center"/>
          </w:tcPr>
          <w:p w:rsidR="00C57351" w:rsidRPr="00C57351" w:rsidRDefault="00C57351" w:rsidP="00BF34DB">
            <w:pPr>
              <w:tabs>
                <w:tab w:val="left" w:pos="1080"/>
              </w:tabs>
              <w:snapToGrid w:val="0"/>
              <w:rPr>
                <w:rFonts w:ascii="標楷體" w:eastAsia="標楷體" w:hAnsi="標楷體" w:hint="eastAsia"/>
              </w:rPr>
            </w:pPr>
            <w:r w:rsidRPr="00C57351">
              <w:rPr>
                <w:rFonts w:ascii="標楷體" w:eastAsia="標楷體" w:hAnsi="標楷體" w:hint="eastAsia"/>
              </w:rPr>
              <w:t>指包含電弧爐煉鋼程序、精煉爐及連續鑄造程序，且生產碳鋼</w:t>
            </w:r>
            <w:proofErr w:type="gramStart"/>
            <w:r w:rsidRPr="00C57351">
              <w:rPr>
                <w:rFonts w:ascii="標楷體" w:eastAsia="標楷體" w:hAnsi="標楷體" w:hint="eastAsia"/>
              </w:rPr>
              <w:t>鋼胚者</w:t>
            </w:r>
            <w:proofErr w:type="gramEnd"/>
            <w:r w:rsidRPr="00C57351">
              <w:rPr>
                <w:rFonts w:ascii="標楷體" w:eastAsia="標楷體" w:hAnsi="標楷體" w:hint="eastAsia"/>
              </w:rPr>
              <w:t>。</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ign w:val="center"/>
          </w:tcPr>
          <w:p w:rsidR="00C57351" w:rsidRPr="00C57351" w:rsidRDefault="00C57351" w:rsidP="002D142E">
            <w:pPr>
              <w:tabs>
                <w:tab w:val="left" w:pos="1080"/>
              </w:tabs>
              <w:snapToGrid w:val="0"/>
              <w:jc w:val="center"/>
              <w:rPr>
                <w:rFonts w:ascii="標楷體" w:eastAsia="標楷體" w:hAnsi="標楷體" w:hint="eastAsia"/>
              </w:rPr>
            </w:pP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電弧爐不</w:t>
            </w:r>
            <w:proofErr w:type="gramStart"/>
            <w:r w:rsidRPr="00C57351">
              <w:rPr>
                <w:rFonts w:ascii="標楷體" w:eastAsia="標楷體" w:hAnsi="標楷體" w:hint="eastAsia"/>
              </w:rPr>
              <w:t>銹</w:t>
            </w:r>
            <w:proofErr w:type="gramEnd"/>
            <w:r w:rsidRPr="00C57351">
              <w:rPr>
                <w:rFonts w:ascii="標楷體" w:eastAsia="標楷體" w:hAnsi="標楷體" w:hint="eastAsia"/>
              </w:rPr>
              <w:t>鋼</w:t>
            </w:r>
            <w:proofErr w:type="gramStart"/>
            <w:r w:rsidRPr="00C57351">
              <w:rPr>
                <w:rFonts w:ascii="標楷體" w:eastAsia="標楷體" w:hAnsi="標楷體" w:hint="eastAsia"/>
              </w:rPr>
              <w:t>鋼</w:t>
            </w:r>
            <w:proofErr w:type="gramEnd"/>
            <w:r w:rsidRPr="00C57351">
              <w:rPr>
                <w:rFonts w:ascii="標楷體" w:eastAsia="標楷體" w:hAnsi="標楷體" w:hint="eastAsia"/>
              </w:rPr>
              <w:t>胚生產程序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指包含電弧爐煉鋼程序、</w:t>
            </w:r>
            <w:proofErr w:type="gramStart"/>
            <w:r w:rsidRPr="00C57351">
              <w:rPr>
                <w:rFonts w:ascii="標楷體" w:eastAsia="標楷體" w:hAnsi="標楷體" w:hint="eastAsia"/>
              </w:rPr>
              <w:t>轉爐</w:t>
            </w:r>
            <w:proofErr w:type="gramEnd"/>
            <w:r w:rsidRPr="00C57351">
              <w:rPr>
                <w:rFonts w:ascii="標楷體" w:eastAsia="標楷體" w:hAnsi="標楷體" w:hint="eastAsia"/>
              </w:rPr>
              <w:t>、真空精煉爐及連續鑄造程序，且生產不</w:t>
            </w:r>
            <w:proofErr w:type="gramStart"/>
            <w:r w:rsidRPr="00C57351">
              <w:rPr>
                <w:rFonts w:ascii="標楷體" w:eastAsia="標楷體" w:hAnsi="標楷體" w:hint="eastAsia"/>
              </w:rPr>
              <w:t>銹</w:t>
            </w:r>
            <w:proofErr w:type="gramEnd"/>
            <w:r w:rsidRPr="00C57351">
              <w:rPr>
                <w:rFonts w:ascii="標楷體" w:eastAsia="標楷體" w:hAnsi="標楷體" w:hint="eastAsia"/>
              </w:rPr>
              <w:t>鋼</w:t>
            </w:r>
            <w:proofErr w:type="gramStart"/>
            <w:r w:rsidRPr="00C57351">
              <w:rPr>
                <w:rFonts w:ascii="標楷體" w:eastAsia="標楷體" w:hAnsi="標楷體" w:hint="eastAsia"/>
              </w:rPr>
              <w:t>鋼胚者</w:t>
            </w:r>
            <w:proofErr w:type="gramEnd"/>
            <w:r w:rsidRPr="00C57351">
              <w:rPr>
                <w:rFonts w:ascii="標楷體" w:eastAsia="標楷體" w:hAnsi="標楷體" w:hint="eastAsia"/>
              </w:rPr>
              <w:t>。</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ign w:val="center"/>
          </w:tcPr>
          <w:p w:rsidR="00C57351" w:rsidRPr="00C57351" w:rsidRDefault="00C57351" w:rsidP="002D142E">
            <w:pPr>
              <w:tabs>
                <w:tab w:val="left" w:pos="1080"/>
              </w:tabs>
              <w:snapToGrid w:val="0"/>
              <w:jc w:val="center"/>
              <w:rPr>
                <w:rFonts w:ascii="標楷體" w:eastAsia="標楷體" w:hAnsi="標楷體" w:hint="eastAsia"/>
              </w:rPr>
            </w:pP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rPr>
              <w:t>H</w:t>
            </w:r>
            <w:r w:rsidRPr="00C57351">
              <w:rPr>
                <w:rFonts w:ascii="標楷體" w:eastAsia="標楷體" w:hAnsi="標楷體" w:hint="eastAsia"/>
              </w:rPr>
              <w:t>型鋼生產程序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指包含加熱、軋製、噴砂及研磨程序，且生產</w:t>
            </w:r>
            <w:r w:rsidRPr="00C57351">
              <w:rPr>
                <w:rFonts w:ascii="標楷體" w:eastAsia="標楷體" w:hAnsi="標楷體"/>
              </w:rPr>
              <w:t>H</w:t>
            </w:r>
            <w:r w:rsidRPr="00C57351">
              <w:rPr>
                <w:rFonts w:ascii="標楷體" w:eastAsia="標楷體" w:hAnsi="標楷體" w:hint="eastAsia"/>
              </w:rPr>
              <w:t>型鋼者。</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Merge/>
            <w:vAlign w:val="center"/>
          </w:tcPr>
          <w:p w:rsidR="00C57351" w:rsidRPr="00C57351" w:rsidRDefault="00C57351" w:rsidP="002D142E">
            <w:pPr>
              <w:tabs>
                <w:tab w:val="left" w:pos="1080"/>
              </w:tabs>
              <w:snapToGrid w:val="0"/>
              <w:jc w:val="center"/>
              <w:rPr>
                <w:rFonts w:ascii="標楷體" w:eastAsia="標楷體" w:hAnsi="標楷體" w:hint="eastAsia"/>
              </w:rPr>
            </w:pP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不</w:t>
            </w:r>
            <w:proofErr w:type="gramStart"/>
            <w:r w:rsidRPr="00C57351">
              <w:rPr>
                <w:rFonts w:ascii="標楷體" w:eastAsia="標楷體" w:hAnsi="標楷體" w:hint="eastAsia"/>
              </w:rPr>
              <w:t>銹</w:t>
            </w:r>
            <w:proofErr w:type="gramEnd"/>
            <w:r w:rsidRPr="00C57351">
              <w:rPr>
                <w:rFonts w:ascii="標楷體" w:eastAsia="標楷體" w:hAnsi="標楷體" w:hint="eastAsia"/>
              </w:rPr>
              <w:t>鋼熱軋鋼</w:t>
            </w:r>
            <w:proofErr w:type="gramStart"/>
            <w:r w:rsidRPr="00C57351">
              <w:rPr>
                <w:rFonts w:ascii="標楷體" w:eastAsia="標楷體" w:hAnsi="標楷體" w:hint="eastAsia"/>
              </w:rPr>
              <w:t>捲</w:t>
            </w:r>
            <w:proofErr w:type="gramEnd"/>
            <w:r w:rsidRPr="00C57351">
              <w:rPr>
                <w:rFonts w:ascii="標楷體" w:eastAsia="標楷體" w:hAnsi="標楷體" w:hint="eastAsia"/>
              </w:rPr>
              <w:t>（板）生產程序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指包括含加熱及軋製軋鋼程序，且生產不</w:t>
            </w:r>
            <w:proofErr w:type="gramStart"/>
            <w:r w:rsidRPr="00C57351">
              <w:rPr>
                <w:rFonts w:ascii="標楷體" w:eastAsia="標楷體" w:hAnsi="標楷體" w:hint="eastAsia"/>
              </w:rPr>
              <w:t>銹</w:t>
            </w:r>
            <w:proofErr w:type="gramEnd"/>
            <w:r w:rsidRPr="00C57351">
              <w:rPr>
                <w:rFonts w:ascii="標楷體" w:eastAsia="標楷體" w:hAnsi="標楷體" w:hint="eastAsia"/>
              </w:rPr>
              <w:t>鋼熱軋鋼</w:t>
            </w:r>
            <w:proofErr w:type="gramStart"/>
            <w:r w:rsidRPr="00C57351">
              <w:rPr>
                <w:rFonts w:ascii="標楷體" w:eastAsia="標楷體" w:hAnsi="標楷體" w:hint="eastAsia"/>
              </w:rPr>
              <w:t>捲</w:t>
            </w:r>
            <w:proofErr w:type="gramEnd"/>
            <w:r w:rsidRPr="00C57351">
              <w:rPr>
                <w:rFonts w:ascii="標楷體" w:eastAsia="標楷體" w:hAnsi="標楷體" w:hint="eastAsia"/>
              </w:rPr>
              <w:t>（板）者。</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石油煉製業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石油煉製程序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以礦產原油或油頁岩等為原料，從事汽油、煤油、柴油、潤滑油、石蠟、石油醚、有機溶劑或其他石油品之提煉者。</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水泥業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具備熟料生產程序</w:t>
            </w:r>
          </w:p>
        </w:tc>
        <w:tc>
          <w:tcPr>
            <w:tcW w:w="1658" w:type="pct"/>
            <w:vAlign w:val="center"/>
          </w:tcPr>
          <w:p w:rsidR="00C57351" w:rsidRPr="00C57351" w:rsidRDefault="00C57351" w:rsidP="00BF34DB">
            <w:pPr>
              <w:tabs>
                <w:tab w:val="left" w:pos="1080"/>
              </w:tabs>
              <w:snapToGrid w:val="0"/>
              <w:rPr>
                <w:rFonts w:ascii="標楷體" w:eastAsia="標楷體" w:hAnsi="標楷體"/>
              </w:rPr>
            </w:pPr>
            <w:r w:rsidRPr="00C57351">
              <w:rPr>
                <w:rFonts w:ascii="標楷體" w:eastAsia="標楷體" w:hAnsi="標楷體" w:hint="eastAsia"/>
              </w:rPr>
              <w:t>熟料生產程序包含生料研磨製程及熟料燒成製程。其中熟料係指含氧化鈣（</w:t>
            </w:r>
            <w:proofErr w:type="spellStart"/>
            <w:r w:rsidRPr="00C57351">
              <w:rPr>
                <w:rFonts w:ascii="標楷體" w:eastAsia="標楷體" w:hAnsi="標楷體"/>
              </w:rPr>
              <w:t>CaO</w:t>
            </w:r>
            <w:proofErr w:type="spellEnd"/>
            <w:r w:rsidRPr="00C57351">
              <w:rPr>
                <w:rFonts w:ascii="標楷體" w:eastAsia="標楷體" w:hAnsi="標楷體" w:hint="eastAsia"/>
              </w:rPr>
              <w:t>）、氧化矽（</w:t>
            </w:r>
            <w:r w:rsidRPr="00C57351">
              <w:rPr>
                <w:rFonts w:ascii="標楷體" w:eastAsia="標楷體" w:hAnsi="標楷體"/>
              </w:rPr>
              <w:t>SiO</w:t>
            </w:r>
            <w:r w:rsidRPr="00C57351">
              <w:rPr>
                <w:rFonts w:ascii="標楷體" w:eastAsia="標楷體" w:hAnsi="標楷體"/>
                <w:vertAlign w:val="subscript"/>
              </w:rPr>
              <w:t>2</w:t>
            </w:r>
            <w:r w:rsidRPr="00C57351">
              <w:rPr>
                <w:rFonts w:ascii="標楷體" w:eastAsia="標楷體" w:hAnsi="標楷體" w:hint="eastAsia"/>
              </w:rPr>
              <w:t>）、氧化鋁（</w:t>
            </w:r>
            <w:r w:rsidRPr="00C57351">
              <w:rPr>
                <w:rFonts w:ascii="標楷體" w:eastAsia="標楷體" w:hAnsi="標楷體"/>
              </w:rPr>
              <w:t>Al</w:t>
            </w:r>
            <w:r w:rsidRPr="00C57351">
              <w:rPr>
                <w:rFonts w:ascii="標楷體" w:eastAsia="標楷體" w:hAnsi="標楷體"/>
                <w:vertAlign w:val="subscript"/>
              </w:rPr>
              <w:t>2</w:t>
            </w:r>
            <w:r w:rsidRPr="00C57351">
              <w:rPr>
                <w:rFonts w:ascii="標楷體" w:eastAsia="標楷體" w:hAnsi="標楷體"/>
              </w:rPr>
              <w:t>O</w:t>
            </w:r>
            <w:r w:rsidRPr="00C57351">
              <w:rPr>
                <w:rFonts w:ascii="標楷體" w:eastAsia="標楷體" w:hAnsi="標楷體"/>
                <w:vertAlign w:val="subscript"/>
              </w:rPr>
              <w:t>3</w:t>
            </w:r>
            <w:r w:rsidRPr="00C57351">
              <w:rPr>
                <w:rFonts w:ascii="標楷體" w:eastAsia="標楷體" w:hAnsi="標楷體" w:hint="eastAsia"/>
              </w:rPr>
              <w:t>）及氧化鐵（</w:t>
            </w:r>
            <w:r w:rsidRPr="00C57351">
              <w:rPr>
                <w:rFonts w:ascii="標楷體" w:eastAsia="標楷體" w:hAnsi="標楷體"/>
              </w:rPr>
              <w:t>Fe</w:t>
            </w:r>
            <w:r w:rsidRPr="00C57351">
              <w:rPr>
                <w:rFonts w:ascii="標楷體" w:eastAsia="標楷體" w:hAnsi="標楷體"/>
                <w:vertAlign w:val="subscript"/>
              </w:rPr>
              <w:t>2</w:t>
            </w:r>
            <w:r w:rsidRPr="00C57351">
              <w:rPr>
                <w:rFonts w:ascii="標楷體" w:eastAsia="標楷體" w:hAnsi="標楷體"/>
              </w:rPr>
              <w:t>O</w:t>
            </w:r>
            <w:r w:rsidRPr="00C57351">
              <w:rPr>
                <w:rFonts w:ascii="標楷體" w:eastAsia="標楷體" w:hAnsi="標楷體"/>
                <w:vertAlign w:val="subscript"/>
              </w:rPr>
              <w:t>3</w:t>
            </w:r>
            <w:r w:rsidRPr="00C57351">
              <w:rPr>
                <w:rFonts w:ascii="標楷體" w:eastAsia="標楷體" w:hAnsi="標楷體" w:hint="eastAsia"/>
              </w:rPr>
              <w:t>）之原料，依適當比例並經研磨後投入於水泥</w:t>
            </w:r>
            <w:proofErr w:type="gramStart"/>
            <w:r w:rsidRPr="00C57351">
              <w:rPr>
                <w:rFonts w:ascii="標楷體" w:eastAsia="標楷體" w:hAnsi="標楷體" w:hint="eastAsia"/>
              </w:rPr>
              <w:t>窯爐中</w:t>
            </w:r>
            <w:proofErr w:type="gramEnd"/>
            <w:r w:rsidRPr="00C57351">
              <w:rPr>
                <w:rFonts w:ascii="標楷體" w:eastAsia="標楷體" w:hAnsi="標楷體" w:hint="eastAsia"/>
              </w:rPr>
              <w:t>，燒至部分熔融所得以矽酸鈣為主要礦物成分之水</w:t>
            </w:r>
            <w:proofErr w:type="gramStart"/>
            <w:r w:rsidRPr="00C57351">
              <w:rPr>
                <w:rFonts w:ascii="標楷體" w:eastAsia="標楷體" w:hAnsi="標楷體" w:hint="eastAsia"/>
              </w:rPr>
              <w:t>硬性膠凝物質</w:t>
            </w:r>
            <w:proofErr w:type="gramEnd"/>
            <w:r w:rsidRPr="00C57351">
              <w:rPr>
                <w:rFonts w:ascii="標楷體" w:eastAsia="標楷體" w:hAnsi="標楷體" w:hint="eastAsia"/>
              </w:rPr>
              <w:t>。</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7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半導體</w:t>
            </w:r>
          </w:p>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積體電路晶圓製造程序</w:t>
            </w:r>
          </w:p>
        </w:tc>
        <w:tc>
          <w:tcPr>
            <w:tcW w:w="1658" w:type="pct"/>
            <w:vAlign w:val="center"/>
          </w:tcPr>
          <w:p w:rsidR="00C57351" w:rsidRPr="00C57351" w:rsidRDefault="00C57351" w:rsidP="0004016D">
            <w:pPr>
              <w:tabs>
                <w:tab w:val="left" w:pos="1080"/>
              </w:tabs>
              <w:snapToGrid w:val="0"/>
              <w:rPr>
                <w:rFonts w:ascii="標楷體" w:eastAsia="標楷體" w:hAnsi="標楷體" w:cs="新細明體"/>
                <w:sz w:val="27"/>
                <w:szCs w:val="27"/>
              </w:rPr>
            </w:pPr>
            <w:r w:rsidRPr="00C57351">
              <w:rPr>
                <w:rFonts w:ascii="標楷體" w:eastAsia="標楷體" w:hAnsi="標楷體" w:hint="eastAsia"/>
              </w:rPr>
              <w:t>指包括經由物理氣相沈積、化學氣相沈積、光阻、</w:t>
            </w:r>
            <w:proofErr w:type="gramStart"/>
            <w:r w:rsidRPr="00C57351">
              <w:rPr>
                <w:rFonts w:ascii="標楷體" w:eastAsia="標楷體" w:hAnsi="標楷體" w:hint="eastAsia"/>
              </w:rPr>
              <w:t>微影</w:t>
            </w:r>
            <w:proofErr w:type="gramEnd"/>
            <w:r w:rsidRPr="00C57351">
              <w:rPr>
                <w:rFonts w:ascii="標楷體" w:eastAsia="標楷體" w:hAnsi="標楷體" w:hint="eastAsia"/>
              </w:rPr>
              <w:t>、蝕刻、擴散、離子植入、氧化與熱處理等製程；僅從事晶圓封裝、</w:t>
            </w:r>
            <w:proofErr w:type="gramStart"/>
            <w:r w:rsidRPr="00C57351">
              <w:rPr>
                <w:rFonts w:ascii="標楷體" w:eastAsia="標楷體" w:hAnsi="標楷體" w:hint="eastAsia"/>
              </w:rPr>
              <w:t>磊</w:t>
            </w:r>
            <w:proofErr w:type="gramEnd"/>
            <w:r w:rsidRPr="00C57351">
              <w:rPr>
                <w:rFonts w:ascii="標楷體" w:eastAsia="標楷體" w:hAnsi="標楷體" w:hint="eastAsia"/>
              </w:rPr>
              <w:t>晶、光</w:t>
            </w:r>
            <w:r w:rsidRPr="00C57351">
              <w:rPr>
                <w:rFonts w:ascii="標楷體" w:eastAsia="標楷體" w:hAnsi="標楷體" w:hint="eastAsia"/>
              </w:rPr>
              <w:lastRenderedPageBreak/>
              <w:t>罩製造、導線架製造、二極體製造及發光二極體製造等作業者或製程中確實未使用含氟溫室氣體者，非屬本公告之適用對象。</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2014"/>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Align w:val="center"/>
          </w:tcPr>
          <w:p w:rsidR="00C57351" w:rsidRPr="00C57351" w:rsidRDefault="00C57351" w:rsidP="002D142E">
            <w:pPr>
              <w:tabs>
                <w:tab w:val="left" w:pos="1080"/>
              </w:tabs>
              <w:snapToGrid w:val="0"/>
              <w:jc w:val="center"/>
              <w:rPr>
                <w:rFonts w:ascii="標楷體" w:eastAsia="標楷體" w:hAnsi="標楷體"/>
              </w:rPr>
            </w:pPr>
            <w:r w:rsidRPr="00C57351">
              <w:rPr>
                <w:rFonts w:ascii="標楷體" w:eastAsia="標楷體" w:hAnsi="標楷體" w:hint="eastAsia"/>
              </w:rPr>
              <w:t>薄膜電晶體液晶顯示器業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具備薄膜電晶體元件陣列基板或彩色濾光片生產程序</w:t>
            </w:r>
          </w:p>
        </w:tc>
        <w:tc>
          <w:tcPr>
            <w:tcW w:w="1658" w:type="pct"/>
            <w:vAlign w:val="center"/>
          </w:tcPr>
          <w:p w:rsidR="00C57351" w:rsidRPr="00C57351" w:rsidRDefault="00C57351" w:rsidP="00EC2B1D">
            <w:pPr>
              <w:tabs>
                <w:tab w:val="left" w:pos="1080"/>
              </w:tabs>
              <w:snapToGrid w:val="0"/>
              <w:rPr>
                <w:rFonts w:ascii="標楷體" w:eastAsia="標楷體" w:hAnsi="標楷體"/>
              </w:rPr>
            </w:pPr>
            <w:r w:rsidRPr="00C57351">
              <w:rPr>
                <w:rFonts w:ascii="標楷體" w:eastAsia="標楷體" w:hAnsi="標楷體" w:hint="eastAsia"/>
              </w:rPr>
              <w:t>指薄膜電晶體液晶顯示器製造過程中，包括擴散、薄膜、黃光顯影、蝕刻或彩色濾光片等程序；製程中確實使用含氟溫室氣體，屬本公告之適用對象。</w:t>
            </w:r>
          </w:p>
        </w:tc>
        <w:tc>
          <w:tcPr>
            <w:tcW w:w="960" w:type="pct"/>
            <w:vMerge/>
            <w:vAlign w:val="center"/>
          </w:tcPr>
          <w:p w:rsidR="00C57351" w:rsidRPr="00C57351" w:rsidRDefault="00C57351" w:rsidP="00BF34DB">
            <w:pPr>
              <w:tabs>
                <w:tab w:val="left" w:pos="1080"/>
              </w:tabs>
              <w:snapToGrid w:val="0"/>
              <w:jc w:val="center"/>
              <w:rPr>
                <w:rFonts w:ascii="標楷體" w:eastAsia="標楷體" w:hAnsi="標楷體" w:hint="eastAsia"/>
              </w:rPr>
            </w:pPr>
          </w:p>
        </w:tc>
      </w:tr>
      <w:tr w:rsidR="00C57351" w:rsidRPr="00C57351" w:rsidTr="005C0815">
        <w:trPr>
          <w:trHeight w:val="2498"/>
        </w:trPr>
        <w:tc>
          <w:tcPr>
            <w:tcW w:w="534" w:type="pct"/>
            <w:vMerge/>
          </w:tcPr>
          <w:p w:rsidR="00C57351" w:rsidRPr="00C57351" w:rsidRDefault="00C57351" w:rsidP="002D142E">
            <w:pPr>
              <w:tabs>
                <w:tab w:val="left" w:pos="1080"/>
              </w:tabs>
              <w:snapToGrid w:val="0"/>
              <w:jc w:val="center"/>
              <w:rPr>
                <w:rFonts w:ascii="標楷體" w:eastAsia="標楷體" w:hAnsi="標楷體" w:hint="eastAsia"/>
              </w:rPr>
            </w:pPr>
          </w:p>
        </w:tc>
        <w:tc>
          <w:tcPr>
            <w:tcW w:w="786"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各行業</w:t>
            </w:r>
          </w:p>
        </w:tc>
        <w:tc>
          <w:tcPr>
            <w:tcW w:w="1062" w:type="pct"/>
            <w:vAlign w:val="center"/>
          </w:tcPr>
          <w:p w:rsidR="00C57351" w:rsidRPr="00C57351" w:rsidRDefault="00C57351" w:rsidP="002D142E">
            <w:pPr>
              <w:tabs>
                <w:tab w:val="left" w:pos="1080"/>
              </w:tabs>
              <w:snapToGrid w:val="0"/>
              <w:jc w:val="center"/>
              <w:rPr>
                <w:rFonts w:ascii="標楷體" w:eastAsia="標楷體" w:hAnsi="標楷體" w:hint="eastAsia"/>
              </w:rPr>
            </w:pPr>
            <w:r w:rsidRPr="00C57351">
              <w:rPr>
                <w:rFonts w:ascii="標楷體" w:eastAsia="標楷體" w:hAnsi="標楷體" w:hint="eastAsia"/>
              </w:rPr>
              <w:t>其他設備</w:t>
            </w:r>
          </w:p>
        </w:tc>
        <w:tc>
          <w:tcPr>
            <w:tcW w:w="1658" w:type="pct"/>
            <w:vAlign w:val="center"/>
          </w:tcPr>
          <w:p w:rsidR="00C57351" w:rsidRPr="00C57351" w:rsidRDefault="00C57351" w:rsidP="00733AF0">
            <w:pPr>
              <w:tabs>
                <w:tab w:val="left" w:pos="1080"/>
              </w:tabs>
              <w:snapToGrid w:val="0"/>
              <w:rPr>
                <w:rFonts w:ascii="標楷體" w:eastAsia="標楷體" w:hAnsi="標楷體" w:hint="eastAsia"/>
              </w:rPr>
            </w:pPr>
            <w:r w:rsidRPr="00C57351">
              <w:rPr>
                <w:rFonts w:ascii="標楷體" w:eastAsia="標楷體" w:hAnsi="標楷體" w:hint="eastAsia"/>
              </w:rPr>
              <w:t>全廠</w:t>
            </w:r>
            <w:r w:rsidRPr="00C57351">
              <w:rPr>
                <w:rFonts w:ascii="標楷體" w:eastAsia="標楷體" w:hAnsi="標楷體"/>
              </w:rPr>
              <w:t>(</w:t>
            </w:r>
            <w:r w:rsidRPr="00C57351">
              <w:rPr>
                <w:rFonts w:ascii="標楷體" w:eastAsia="標楷體" w:hAnsi="標楷體" w:hint="eastAsia"/>
              </w:rPr>
              <w:t>場</w:t>
            </w:r>
            <w:r w:rsidRPr="00C57351">
              <w:rPr>
                <w:rFonts w:ascii="標楷體" w:eastAsia="標楷體" w:hAnsi="標楷體"/>
              </w:rPr>
              <w:t>)</w:t>
            </w:r>
            <w:r w:rsidRPr="00C57351">
              <w:rPr>
                <w:rFonts w:ascii="標楷體" w:eastAsia="標楷體" w:hAnsi="標楷體" w:hint="eastAsia"/>
              </w:rPr>
              <w:t>化石燃料燃燒之直接排放產生溫室氣體年排放量達二．五萬公噸二氧化碳當量。</w:t>
            </w:r>
          </w:p>
        </w:tc>
        <w:tc>
          <w:tcPr>
            <w:tcW w:w="960" w:type="pct"/>
            <w:vMerge/>
            <w:vAlign w:val="center"/>
          </w:tcPr>
          <w:p w:rsidR="00C57351" w:rsidRPr="00C57351" w:rsidRDefault="00C57351" w:rsidP="00BF34DB">
            <w:pPr>
              <w:tabs>
                <w:tab w:val="left" w:pos="1080"/>
              </w:tabs>
              <w:snapToGrid w:val="0"/>
              <w:ind w:leftChars="210" w:left="504"/>
              <w:jc w:val="both"/>
              <w:rPr>
                <w:rFonts w:ascii="標楷體" w:eastAsia="標楷體" w:hAnsi="標楷體" w:hint="eastAsia"/>
              </w:rPr>
            </w:pPr>
          </w:p>
        </w:tc>
      </w:tr>
    </w:tbl>
    <w:p w:rsidR="00C57351" w:rsidRPr="00C57351" w:rsidRDefault="00C57351" w:rsidP="00A751A7">
      <w:pPr>
        <w:rPr>
          <w:rFonts w:ascii="標楷體" w:eastAsia="標楷體" w:hint="eastAsia"/>
          <w:sz w:val="28"/>
          <w:szCs w:val="28"/>
        </w:rPr>
      </w:pPr>
    </w:p>
    <w:p w:rsidR="00C47D8E" w:rsidRPr="00C57351" w:rsidRDefault="00C47D8E" w:rsidP="00645EAE">
      <w:pPr>
        <w:pStyle w:val="a6"/>
        <w:spacing w:line="200" w:lineRule="atLeast"/>
        <w:ind w:leftChars="-1" w:left="-2" w:firstLine="140"/>
        <w:rPr>
          <w:sz w:val="32"/>
          <w:szCs w:val="32"/>
        </w:rPr>
      </w:pPr>
    </w:p>
    <w:sectPr w:rsidR="00C47D8E" w:rsidRPr="00C57351" w:rsidSect="00C47D8E">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3CA"/>
    <w:multiLevelType w:val="hybridMultilevel"/>
    <w:tmpl w:val="F61C2A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8013B5"/>
    <w:multiLevelType w:val="hybridMultilevel"/>
    <w:tmpl w:val="D31A0268"/>
    <w:lvl w:ilvl="0" w:tplc="F448139E">
      <w:start w:val="1"/>
      <w:numFmt w:val="taiwaneseCountingThousand"/>
      <w:lvlText w:val="（%1）"/>
      <w:lvlJc w:val="left"/>
      <w:pPr>
        <w:tabs>
          <w:tab w:val="num" w:pos="1790"/>
        </w:tabs>
        <w:ind w:left="1790" w:hanging="1080"/>
      </w:pPr>
      <w:rPr>
        <w:sz w:val="34"/>
      </w:rPr>
    </w:lvl>
    <w:lvl w:ilvl="1" w:tplc="04090019">
      <w:start w:val="1"/>
      <w:numFmt w:val="decimal"/>
      <w:lvlText w:val="%2."/>
      <w:lvlJc w:val="left"/>
      <w:pPr>
        <w:tabs>
          <w:tab w:val="num" w:pos="1810"/>
        </w:tabs>
        <w:ind w:left="1810" w:hanging="360"/>
      </w:pPr>
    </w:lvl>
    <w:lvl w:ilvl="2" w:tplc="0409001B">
      <w:start w:val="1"/>
      <w:numFmt w:val="decimal"/>
      <w:lvlText w:val="%3."/>
      <w:lvlJc w:val="left"/>
      <w:pPr>
        <w:tabs>
          <w:tab w:val="num" w:pos="2530"/>
        </w:tabs>
        <w:ind w:left="2530" w:hanging="360"/>
      </w:pPr>
    </w:lvl>
    <w:lvl w:ilvl="3" w:tplc="0409000F">
      <w:start w:val="1"/>
      <w:numFmt w:val="decimal"/>
      <w:lvlText w:val="%4."/>
      <w:lvlJc w:val="left"/>
      <w:pPr>
        <w:tabs>
          <w:tab w:val="num" w:pos="3250"/>
        </w:tabs>
        <w:ind w:left="3250" w:hanging="360"/>
      </w:pPr>
    </w:lvl>
    <w:lvl w:ilvl="4" w:tplc="04090019">
      <w:start w:val="1"/>
      <w:numFmt w:val="decimal"/>
      <w:lvlText w:val="%5."/>
      <w:lvlJc w:val="left"/>
      <w:pPr>
        <w:tabs>
          <w:tab w:val="num" w:pos="3970"/>
        </w:tabs>
        <w:ind w:left="3970" w:hanging="360"/>
      </w:pPr>
    </w:lvl>
    <w:lvl w:ilvl="5" w:tplc="0409001B">
      <w:start w:val="1"/>
      <w:numFmt w:val="decimal"/>
      <w:lvlText w:val="%6."/>
      <w:lvlJc w:val="left"/>
      <w:pPr>
        <w:tabs>
          <w:tab w:val="num" w:pos="4690"/>
        </w:tabs>
        <w:ind w:left="4690" w:hanging="360"/>
      </w:pPr>
    </w:lvl>
    <w:lvl w:ilvl="6" w:tplc="0409000F">
      <w:start w:val="1"/>
      <w:numFmt w:val="decimal"/>
      <w:lvlText w:val="%7."/>
      <w:lvlJc w:val="left"/>
      <w:pPr>
        <w:tabs>
          <w:tab w:val="num" w:pos="5410"/>
        </w:tabs>
        <w:ind w:left="5410" w:hanging="360"/>
      </w:pPr>
    </w:lvl>
    <w:lvl w:ilvl="7" w:tplc="04090019">
      <w:start w:val="1"/>
      <w:numFmt w:val="decimal"/>
      <w:lvlText w:val="%8."/>
      <w:lvlJc w:val="left"/>
      <w:pPr>
        <w:tabs>
          <w:tab w:val="num" w:pos="6130"/>
        </w:tabs>
        <w:ind w:left="6130" w:hanging="360"/>
      </w:pPr>
    </w:lvl>
    <w:lvl w:ilvl="8" w:tplc="0409001B">
      <w:start w:val="1"/>
      <w:numFmt w:val="decimal"/>
      <w:lvlText w:val="%9."/>
      <w:lvlJc w:val="left"/>
      <w:pPr>
        <w:tabs>
          <w:tab w:val="num" w:pos="6850"/>
        </w:tabs>
        <w:ind w:left="6850" w:hanging="360"/>
      </w:pPr>
    </w:lvl>
  </w:abstractNum>
  <w:abstractNum w:abstractNumId="2">
    <w:nsid w:val="740D5620"/>
    <w:multiLevelType w:val="multilevel"/>
    <w:tmpl w:val="3CD2945E"/>
    <w:lvl w:ilvl="0">
      <w:start w:val="1"/>
      <w:numFmt w:val="taiwaneseCountingThousand"/>
      <w:suff w:val="nothing"/>
      <w:lvlText w:val="%1、"/>
      <w:lvlJc w:val="left"/>
      <w:pPr>
        <w:ind w:left="1334" w:hanging="624"/>
      </w:pPr>
      <w:rPr>
        <w:rFonts w:hint="eastAsia"/>
      </w:rPr>
    </w:lvl>
    <w:lvl w:ilvl="1">
      <w:start w:val="1"/>
      <w:numFmt w:val="taiwaneseCountingThousand"/>
      <w:suff w:val="nothing"/>
      <w:lvlText w:val="(%2)、"/>
      <w:lvlJc w:val="left"/>
      <w:pPr>
        <w:ind w:left="1844" w:hanging="510"/>
      </w:pPr>
      <w:rPr>
        <w:rFonts w:hint="eastAsia"/>
      </w:rPr>
    </w:lvl>
    <w:lvl w:ilvl="2">
      <w:start w:val="1"/>
      <w:numFmt w:val="decimalFullWidth"/>
      <w:suff w:val="nothing"/>
      <w:lvlText w:val="%3、"/>
      <w:lvlJc w:val="left"/>
      <w:pPr>
        <w:ind w:left="2014" w:hanging="623"/>
      </w:pPr>
      <w:rPr>
        <w:rFonts w:hint="eastAsia"/>
      </w:rPr>
    </w:lvl>
    <w:lvl w:ilvl="3">
      <w:start w:val="1"/>
      <w:numFmt w:val="decimalFullWidth"/>
      <w:suff w:val="nothing"/>
      <w:lvlText w:val="(%4)、"/>
      <w:lvlJc w:val="left"/>
      <w:pPr>
        <w:ind w:left="2496" w:hanging="538"/>
      </w:pPr>
      <w:rPr>
        <w:rFonts w:hint="eastAsia"/>
      </w:rPr>
    </w:lvl>
    <w:lvl w:ilvl="4">
      <w:start w:val="1"/>
      <w:numFmt w:val="ideographTraditional"/>
      <w:suff w:val="nothing"/>
      <w:lvlText w:val="%5、"/>
      <w:lvlJc w:val="left"/>
      <w:pPr>
        <w:ind w:left="3092" w:hanging="624"/>
      </w:pPr>
      <w:rPr>
        <w:rFonts w:hint="eastAsia"/>
      </w:rPr>
    </w:lvl>
    <w:lvl w:ilvl="5">
      <w:start w:val="1"/>
      <w:numFmt w:val="ideographTraditional"/>
      <w:suff w:val="nothing"/>
      <w:lvlText w:val="(%6)、"/>
      <w:lvlJc w:val="left"/>
      <w:pPr>
        <w:ind w:left="3630" w:hanging="540"/>
      </w:pPr>
      <w:rPr>
        <w:rFonts w:hint="eastAsia"/>
      </w:rPr>
    </w:lvl>
    <w:lvl w:ilvl="6">
      <w:start w:val="1"/>
      <w:numFmt w:val="ideographZodiac"/>
      <w:suff w:val="nothing"/>
      <w:lvlText w:val="%7、"/>
      <w:lvlJc w:val="left"/>
      <w:pPr>
        <w:ind w:left="4282" w:hanging="623"/>
      </w:pPr>
      <w:rPr>
        <w:rFonts w:hint="eastAsia"/>
      </w:rPr>
    </w:lvl>
    <w:lvl w:ilvl="7">
      <w:start w:val="1"/>
      <w:numFmt w:val="ideographZodiac"/>
      <w:suff w:val="nothing"/>
      <w:lvlText w:val="(%8)、"/>
      <w:lvlJc w:val="left"/>
      <w:pPr>
        <w:ind w:left="4793" w:hanging="511"/>
      </w:pPr>
      <w:rPr>
        <w:rFonts w:hint="eastAsia"/>
      </w:rPr>
    </w:lvl>
    <w:lvl w:ilvl="8">
      <w:start w:val="1"/>
      <w:numFmt w:val="decimalFullWidth"/>
      <w:suff w:val="nothing"/>
      <w:lvlText w:val="%9)、"/>
      <w:lvlJc w:val="left"/>
      <w:pPr>
        <w:ind w:left="5331" w:hanging="425"/>
      </w:pPr>
      <w:rPr>
        <w:rFonts w:hint="eastAsia"/>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E"/>
    <w:rsid w:val="00077D1F"/>
    <w:rsid w:val="00300A2A"/>
    <w:rsid w:val="00645EAE"/>
    <w:rsid w:val="00676AA9"/>
    <w:rsid w:val="006F47D5"/>
    <w:rsid w:val="00B51EDF"/>
    <w:rsid w:val="00C47D8E"/>
    <w:rsid w:val="00C57351"/>
    <w:rsid w:val="00E1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customStyle="1" w:styleId="aa">
    <w:name w:val="表格一、"/>
    <w:basedOn w:val="a"/>
    <w:rsid w:val="00C57351"/>
    <w:pPr>
      <w:adjustRightInd w:val="0"/>
      <w:ind w:left="460" w:hanging="460"/>
      <w:jc w:val="both"/>
      <w:textAlignment w:val="baseline"/>
    </w:pPr>
    <w:rPr>
      <w:rFonts w:ascii="華康中楷體" w:eastAsia="華康中楷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customStyle="1" w:styleId="aa">
    <w:name w:val="表格一、"/>
    <w:basedOn w:val="a"/>
    <w:rsid w:val="00C57351"/>
    <w:pPr>
      <w:adjustRightInd w:val="0"/>
      <w:ind w:left="460" w:hanging="460"/>
      <w:jc w:val="both"/>
      <w:textAlignment w:val="baseline"/>
    </w:pPr>
    <w:rPr>
      <w:rFonts w:ascii="華康中楷體" w:eastAsia="華康中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hamj</dc:creator>
  <cp:lastModifiedBy>葉宇珊</cp:lastModifiedBy>
  <cp:revision>4</cp:revision>
  <dcterms:created xsi:type="dcterms:W3CDTF">2015-09-14T10:38:00Z</dcterms:created>
  <dcterms:modified xsi:type="dcterms:W3CDTF">2015-09-15T09:25:00Z</dcterms:modified>
</cp:coreProperties>
</file>