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AD" w14:textId="78D7400A" w:rsidR="00890A58" w:rsidRPr="00105B0D" w:rsidRDefault="00590E38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688CDCB9">
            <wp:simplePos x="0" y="0"/>
            <wp:positionH relativeFrom="column">
              <wp:posOffset>1781075</wp:posOffset>
            </wp:positionH>
            <wp:positionV relativeFrom="paragraph">
              <wp:posOffset>-197485</wp:posOffset>
            </wp:positionV>
            <wp:extent cx="6496364" cy="682781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64" cy="68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68107FB8">
            <wp:simplePos x="0" y="0"/>
            <wp:positionH relativeFrom="column">
              <wp:posOffset>385445</wp:posOffset>
            </wp:positionH>
            <wp:positionV relativeFrom="paragraph">
              <wp:posOffset>-266065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692"/>
        <w:tblW w:w="110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624"/>
        <w:gridCol w:w="2617"/>
        <w:gridCol w:w="851"/>
        <w:gridCol w:w="3827"/>
      </w:tblGrid>
      <w:tr w:rsidR="00E5270F" w:rsidRPr="007D5445" w14:paraId="595A4380" w14:textId="77777777" w:rsidTr="00A709FD">
        <w:trPr>
          <w:trHeight w:val="538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</w:tcBorders>
            <w:shd w:val="clear" w:color="auto" w:fill="DAEEF3" w:themeFill="accent5" w:themeFillTint="33"/>
            <w:vAlign w:val="center"/>
          </w:tcPr>
          <w:p w14:paraId="05224CA5" w14:textId="77777777" w:rsidR="00E5270F" w:rsidRPr="00A34030" w:rsidRDefault="00E5270F" w:rsidP="00A34030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14:paraId="0FE309B8" w14:textId="722B9281" w:rsidR="00DE7AF2" w:rsidRPr="00A709FD" w:rsidRDefault="00C32623" w:rsidP="00413744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bCs/>
                <w:sz w:val="28"/>
                <w:szCs w:val="28"/>
              </w:rPr>
            </w:pPr>
            <w:r w:rsidRPr="00A709FD">
              <w:rPr>
                <w:rFonts w:ascii="CIDFont+F1" w:eastAsia="CIDFont+F1" w:cs="CIDFont+F2" w:hint="eastAsia"/>
                <w:b/>
                <w:bCs/>
                <w:kern w:val="0"/>
                <w:sz w:val="28"/>
                <w:szCs w:val="28"/>
              </w:rPr>
              <w:t>產品訂價作業實務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3F89F07" w14:textId="6CDDD1D8" w:rsidR="00E5270F" w:rsidRPr="00A709FD" w:rsidRDefault="00E5270F" w:rsidP="00A34030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F99873" w14:textId="20E946E8" w:rsidR="00E5270F" w:rsidRPr="00A709FD" w:rsidRDefault="00A47760" w:rsidP="00862658">
            <w:pPr>
              <w:snapToGrid w:val="0"/>
              <w:spacing w:before="100" w:beforeAutospacing="1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佘通權</w:t>
            </w:r>
          </w:p>
        </w:tc>
      </w:tr>
      <w:tr w:rsidR="00E5270F" w:rsidRPr="007D5445" w14:paraId="74F96F27" w14:textId="77777777" w:rsidTr="00A709FD">
        <w:trPr>
          <w:trHeight w:val="424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DAEEF3" w:themeFill="accent5" w:themeFillTint="33"/>
            <w:vAlign w:val="center"/>
          </w:tcPr>
          <w:p w14:paraId="76DC6987" w14:textId="77777777" w:rsidR="00E5270F" w:rsidRPr="00A34030" w:rsidRDefault="00E5270F" w:rsidP="00413744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14:paraId="00C94CB1" w14:textId="1211177D" w:rsidR="00E5270F" w:rsidRPr="00A34030" w:rsidRDefault="00F760A5" w:rsidP="00413744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11</w:t>
            </w:r>
            <w:r w:rsidR="007A4953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1</w:t>
            </w:r>
            <w:r w:rsidR="00E5270F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.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</w:t>
            </w:r>
            <w:r w:rsidR="009841DC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3</w:t>
            </w:r>
            <w:r w:rsidR="00E5270F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.</w:t>
            </w:r>
            <w:r w:rsidR="00A47760">
              <w:rPr>
                <w:rFonts w:ascii="CIDFont+F1" w:eastAsia="CIDFont+F1" w:hAnsi="Times New Roman" w:cs="Times New Roman" w:hint="eastAsia"/>
                <w:b/>
                <w:szCs w:val="24"/>
              </w:rPr>
              <w:t>25</w:t>
            </w:r>
            <w:r w:rsidR="00E5270F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(星期</w:t>
            </w:r>
            <w:r w:rsidR="00A47760">
              <w:rPr>
                <w:rFonts w:ascii="CIDFont+F1" w:eastAsia="CIDFont+F1" w:hAnsi="Times New Roman" w:cs="Times New Roman" w:hint="eastAsia"/>
                <w:b/>
                <w:szCs w:val="24"/>
              </w:rPr>
              <w:t>五</w:t>
            </w:r>
            <w:r w:rsidR="00E5270F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8FE476" w14:textId="77777777" w:rsidR="00E5270F" w:rsidRPr="00A34030" w:rsidRDefault="00E5270F" w:rsidP="00A34030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3C6B9E" w14:textId="4728991B" w:rsidR="00E5270F" w:rsidRPr="00A34030" w:rsidRDefault="00E5270F" w:rsidP="00413744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9:</w:t>
            </w:r>
            <w:r w:rsidR="00232641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0-1</w:t>
            </w:r>
            <w:r w:rsidR="00771EEC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6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:</w:t>
            </w:r>
            <w:r w:rsidR="00232641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</w:t>
            </w:r>
            <w:r w:rsidR="00EC3C98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 xml:space="preserve"> 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(0</w:t>
            </w:r>
            <w:r w:rsidR="00232641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8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:</w:t>
            </w:r>
            <w:r w:rsidR="00232641"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4</w:t>
            </w:r>
            <w:r w:rsidRPr="00A34030">
              <w:rPr>
                <w:rFonts w:ascii="CIDFont+F1" w:eastAsia="CIDFont+F1" w:hAnsi="Times New Roman" w:cs="Times New Roman" w:hint="eastAsia"/>
                <w:b/>
                <w:szCs w:val="24"/>
              </w:rPr>
              <w:t>0報到)</w:t>
            </w:r>
          </w:p>
        </w:tc>
      </w:tr>
      <w:tr w:rsidR="00A47760" w:rsidRPr="008C261A" w14:paraId="35BFAE82" w14:textId="77777777" w:rsidTr="00A709FD">
        <w:trPr>
          <w:trHeight w:val="1267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DAEEF3" w:themeFill="accent5" w:themeFillTint="33"/>
            <w:vAlign w:val="center"/>
          </w:tcPr>
          <w:p w14:paraId="3060E726" w14:textId="77777777" w:rsidR="00A47760" w:rsidRDefault="00A47760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3EE93CB3" w14:textId="3FDD85C0" w:rsidR="00A47760" w:rsidRPr="00A34030" w:rsidRDefault="00A47760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簡介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A738D" w14:textId="05535777" w:rsidR="00A47760" w:rsidRPr="00C32623" w:rsidRDefault="00A47760" w:rsidP="00C32623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A47760">
              <w:rPr>
                <w:rFonts w:ascii="CIDFont+F1" w:eastAsia="CIDFont+F1" w:hAnsi="微軟正黑體" w:hint="eastAsia"/>
                <w:sz w:val="22"/>
              </w:rPr>
              <w:t>最近國際局勢變化快速,各國經濟成長普遍減緩,台灣經濟環境亦連帶受到波及.目前原料成本持續上升,收款期限拉長,付款期限縮短,產品售價無法完全反映成本上升的速度,大幅侵蝕公司既有利潤.此時,企業分析每張訂單損益時,出現部份訂單發生虧損狀態,據調查企業多半做了錯誤的訂價決策所致,本課程綜合市場、產品、品質、成本等多元要素,運用管理會計手法提出產品正確與更好訂價方法,使訂單轉虧為盈,全課採實例解說可為企業帶來實質效益。</w:t>
            </w:r>
          </w:p>
        </w:tc>
      </w:tr>
      <w:tr w:rsidR="001902A0" w:rsidRPr="008C261A" w14:paraId="56B75F9B" w14:textId="77777777" w:rsidTr="001902A0">
        <w:trPr>
          <w:trHeight w:val="1055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DAEEF3" w:themeFill="accent5" w:themeFillTint="33"/>
            <w:vAlign w:val="center"/>
          </w:tcPr>
          <w:p w14:paraId="4095AEEF" w14:textId="77777777" w:rsidR="001902A0" w:rsidRDefault="001902A0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51304611" w14:textId="130E3DDF" w:rsidR="001902A0" w:rsidRDefault="001902A0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CDD02" w14:textId="32CE79E4" w:rsidR="001902A0" w:rsidRPr="00A47760" w:rsidRDefault="001902A0" w:rsidP="001902A0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 w:hint="eastAsia"/>
                <w:sz w:val="22"/>
              </w:rPr>
            </w:pPr>
            <w:r w:rsidRPr="001902A0">
              <w:rPr>
                <w:rFonts w:ascii="CIDFont+F1" w:eastAsia="CIDFont+F1" w:hAnsi="微軟正黑體" w:hint="eastAsia"/>
                <w:sz w:val="22"/>
              </w:rPr>
              <w:t>1了解產品正確與最佳訂價方法2.了解市場競爭力與產品價值3.不同地區、客戶、品質採差異化訂價4.運用標準成本加合理利潤訂價5.傳授新產品訂價方法6.運用邊際貢獻調價</w:t>
            </w:r>
          </w:p>
        </w:tc>
      </w:tr>
      <w:tr w:rsidR="009841DC" w:rsidRPr="008C261A" w14:paraId="7922083D" w14:textId="77777777" w:rsidTr="00A709FD">
        <w:trPr>
          <w:trHeight w:val="1267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DAEEF3" w:themeFill="accent5" w:themeFillTint="33"/>
            <w:vAlign w:val="center"/>
          </w:tcPr>
          <w:p w14:paraId="202A1472" w14:textId="77777777" w:rsidR="009841DC" w:rsidRPr="00A34030" w:rsidRDefault="009841DC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095F14D6" w14:textId="745E1CEF" w:rsidR="009841DC" w:rsidRPr="00A34030" w:rsidRDefault="00774F9C" w:rsidP="00413744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F3569" w14:textId="3DDEDB5C" w:rsidR="00774F9C" w:rsidRPr="00774F9C" w:rsidRDefault="00774F9C" w:rsidP="00774F9C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774F9C">
              <w:rPr>
                <w:rFonts w:ascii="CIDFont+F1" w:eastAsia="CIDFont+F1" w:hAnsi="微軟正黑體" w:hint="eastAsia"/>
                <w:sz w:val="22"/>
              </w:rPr>
              <w:t>1.運用管理會計手法擬定最低訂價,避免做出錯誤訂價決策</w:t>
            </w:r>
          </w:p>
          <w:p w14:paraId="1F90C8E6" w14:textId="6A2C2206" w:rsidR="00774F9C" w:rsidRPr="00774F9C" w:rsidRDefault="00590E38" w:rsidP="00774F9C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590E38">
              <w:rPr>
                <w:rFonts w:ascii="華康超明體" w:eastAsia="華康超明體" w:hAnsi="標楷體"/>
                <w:bCs/>
                <w:noProof/>
                <w:sz w:val="60"/>
                <w:szCs w:val="6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F118BA" wp14:editId="5664A6BD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125730</wp:posOffset>
                      </wp:positionV>
                      <wp:extent cx="2179320" cy="1404620"/>
                      <wp:effectExtent l="76200" t="57150" r="68580" b="9906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BB104" w14:textId="26960339" w:rsidR="00590E38" w:rsidRPr="00590E38" w:rsidRDefault="00590E38" w:rsidP="00590E38">
                                  <w:pPr>
                                    <w:jc w:val="center"/>
                                    <w:rPr>
                                      <w:rFonts w:ascii="CIDFont+F1" w:eastAsia="CIDFont+F1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90E38">
                                    <w:rPr>
                                      <w:rFonts w:ascii="CIDFont+F1" w:eastAsia="CIDFont+F1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課程大綱請翻到背後詳閱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118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2.95pt;margin-top:9.9pt;width:171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" fillcolor="#4f81bd [3204]" strokecolor="white [3201]" strokeweight="3pt">
                      <v:shadow on="t" color="black" opacity="24903f" origin=",.5" offset="0,.55556mm"/>
                      <v:textbox style="mso-fit-shape-to-text:t">
                        <w:txbxContent>
                          <w:p w14:paraId="4FEBB104" w14:textId="26960339" w:rsidR="00590E38" w:rsidRPr="00590E38" w:rsidRDefault="00590E38" w:rsidP="00590E38">
                            <w:pPr>
                              <w:jc w:val="center"/>
                              <w:rPr>
                                <w:rFonts w:ascii="CIDFont+F1" w:eastAsia="CIDFont+F1" w:hint="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0E38">
                              <w:rPr>
                                <w:rFonts w:ascii="CIDFont+F1" w:eastAsia="CIDFont+F1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課程</w:t>
                            </w:r>
                            <w:proofErr w:type="gramStart"/>
                            <w:r w:rsidRPr="00590E38">
                              <w:rPr>
                                <w:rFonts w:ascii="CIDFont+F1" w:eastAsia="CIDFont+F1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大綱請翻到</w:t>
                            </w:r>
                            <w:proofErr w:type="gramEnd"/>
                            <w:r w:rsidRPr="00590E38">
                              <w:rPr>
                                <w:rFonts w:ascii="CIDFont+F1" w:eastAsia="CIDFont+F1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背後詳閱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74F9C" w:rsidRPr="00774F9C">
              <w:rPr>
                <w:rFonts w:ascii="CIDFont+F1" w:eastAsia="CIDFont+F1" w:hAnsi="微軟正黑體" w:hint="eastAsia"/>
                <w:sz w:val="22"/>
              </w:rPr>
              <w:t>2.傳授調價技巧與調價時機選擇</w:t>
            </w:r>
          </w:p>
          <w:p w14:paraId="1077EB89" w14:textId="000F6897" w:rsidR="00774F9C" w:rsidRPr="00774F9C" w:rsidRDefault="00774F9C" w:rsidP="00774F9C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774F9C">
              <w:rPr>
                <w:rFonts w:ascii="CIDFont+F1" w:eastAsia="CIDFont+F1" w:hAnsi="微軟正黑體" w:hint="eastAsia"/>
                <w:sz w:val="22"/>
              </w:rPr>
              <w:t>3.運用4P調整產品組合結構,增加利潤與營收</w:t>
            </w:r>
          </w:p>
          <w:p w14:paraId="6393A149" w14:textId="77777777" w:rsidR="00774F9C" w:rsidRPr="00774F9C" w:rsidRDefault="00774F9C" w:rsidP="00774F9C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774F9C">
              <w:rPr>
                <w:rFonts w:ascii="CIDFont+F1" w:eastAsia="CIDFont+F1" w:hAnsi="微軟正黑體" w:hint="eastAsia"/>
                <w:sz w:val="22"/>
              </w:rPr>
              <w:t>4.根據產品市價反推目標成本</w:t>
            </w:r>
          </w:p>
          <w:p w14:paraId="3236BDF4" w14:textId="319F6867" w:rsidR="00771EEC" w:rsidRPr="00A34030" w:rsidRDefault="00774F9C" w:rsidP="00774F9C">
            <w:pPr>
              <w:snapToGrid w:val="0"/>
              <w:spacing w:line="400" w:lineRule="exact"/>
              <w:jc w:val="both"/>
              <w:outlineLvl w:val="3"/>
              <w:rPr>
                <w:rFonts w:ascii="CIDFont+F1" w:eastAsia="CIDFont+F1" w:hAnsi="微軟正黑體"/>
                <w:sz w:val="22"/>
              </w:rPr>
            </w:pPr>
            <w:r w:rsidRPr="00774F9C">
              <w:rPr>
                <w:rFonts w:ascii="CIDFont+F1" w:eastAsia="CIDFont+F1" w:hAnsi="微軟正黑體" w:hint="eastAsia"/>
                <w:sz w:val="22"/>
              </w:rPr>
              <w:t>5.設計電腦程式產生自動報價機制</w:t>
            </w:r>
          </w:p>
        </w:tc>
      </w:tr>
      <w:tr w:rsidR="00533F4A" w:rsidRPr="007D5445" w14:paraId="0FA22CF6" w14:textId="77777777" w:rsidTr="00A709FD">
        <w:trPr>
          <w:trHeight w:val="327"/>
        </w:trPr>
        <w:tc>
          <w:tcPr>
            <w:tcW w:w="959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2DE963C" w14:textId="77777777" w:rsidR="00533F4A" w:rsidRPr="00A34030" w:rsidRDefault="00533F4A" w:rsidP="00413744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</w:t>
            </w:r>
            <w:r w:rsidR="0009652E"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662AC" w14:textId="77777777" w:rsidR="00533F4A" w:rsidRPr="00A34030" w:rsidRDefault="00533F4A" w:rsidP="001A5758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會員</w:t>
            </w:r>
          </w:p>
        </w:tc>
        <w:tc>
          <w:tcPr>
            <w:tcW w:w="1624" w:type="dxa"/>
            <w:vAlign w:val="center"/>
          </w:tcPr>
          <w:p w14:paraId="21744976" w14:textId="1FBB79E9" w:rsidR="00533F4A" w:rsidRPr="00A34030" w:rsidRDefault="00A47760" w:rsidP="001A5758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2"/>
              </w:rPr>
              <w:t>1000元</w:t>
            </w:r>
          </w:p>
        </w:tc>
        <w:tc>
          <w:tcPr>
            <w:tcW w:w="7295" w:type="dxa"/>
            <w:gridSpan w:val="3"/>
            <w:tcBorders>
              <w:right w:val="double" w:sz="4" w:space="0" w:color="auto"/>
            </w:tcBorders>
            <w:vAlign w:val="center"/>
          </w:tcPr>
          <w:p w14:paraId="0532F9B4" w14:textId="358F1DC8" w:rsidR="00533F4A" w:rsidRPr="00A34030" w:rsidRDefault="00533F4A" w:rsidP="0070538B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同公司報名</w:t>
            </w:r>
            <w:r w:rsidR="00A47760"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第二位以上享九折優惠</w:t>
            </w:r>
          </w:p>
        </w:tc>
      </w:tr>
      <w:tr w:rsidR="00533F4A" w:rsidRPr="007D5445" w14:paraId="255705AF" w14:textId="77777777" w:rsidTr="00A709FD">
        <w:trPr>
          <w:trHeight w:val="214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5BA3802E" w14:textId="77777777" w:rsidR="00533F4A" w:rsidRPr="00A34030" w:rsidRDefault="00533F4A" w:rsidP="00413744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000000"/>
            </w:tcBorders>
            <w:vAlign w:val="center"/>
          </w:tcPr>
          <w:p w14:paraId="2A794200" w14:textId="77777777" w:rsidR="00533F4A" w:rsidRPr="00A34030" w:rsidRDefault="00533F4A" w:rsidP="0070538B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非會員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14:paraId="08E5B2F3" w14:textId="3DFB91B1" w:rsidR="00533F4A" w:rsidRPr="00A34030" w:rsidRDefault="00771EEC" w:rsidP="0070538B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2000</w:t>
            </w:r>
            <w:r w:rsidR="00533F4A"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元</w:t>
            </w:r>
          </w:p>
        </w:tc>
        <w:tc>
          <w:tcPr>
            <w:tcW w:w="729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0EC98C" w14:textId="4DCDC4D2" w:rsidR="00533F4A" w:rsidRPr="00A34030" w:rsidRDefault="00533F4A" w:rsidP="0070538B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同公司報名</w:t>
            </w:r>
            <w:r w:rsidR="000153F6"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第</w:t>
            </w:r>
            <w:r w:rsidR="000B0D1D"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二</w:t>
            </w: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位以上享九折優惠</w:t>
            </w:r>
          </w:p>
        </w:tc>
      </w:tr>
    </w:tbl>
    <w:p w14:paraId="5F7854F5" w14:textId="53BBD2C7" w:rsidR="00590E38" w:rsidRDefault="00590E38" w:rsidP="009121A9">
      <w:pPr>
        <w:widowControl w:val="0"/>
        <w:spacing w:line="400" w:lineRule="exact"/>
        <w:jc w:val="both"/>
        <w:rPr>
          <w:rFonts w:ascii="CIDFont+F1" w:eastAsia="CIDFont+F1" w:hAnsi="Times New Roman" w:cs="Times New Roman"/>
          <w:b/>
          <w:sz w:val="22"/>
        </w:rPr>
      </w:pPr>
    </w:p>
    <w:p w14:paraId="0CC62EFB" w14:textId="484FD855" w:rsidR="00B30680" w:rsidRPr="00A709FD" w:rsidRDefault="00B30680" w:rsidP="009121A9">
      <w:pPr>
        <w:widowControl w:val="0"/>
        <w:spacing w:line="400" w:lineRule="exact"/>
        <w:jc w:val="both"/>
        <w:rPr>
          <w:rFonts w:ascii="CIDFont+F1" w:eastAsia="CIDFont+F1" w:hAnsi="Times New Roman" w:cs="Times New Roman"/>
          <w:b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報名前請先閱讀如下，以確保您的權益</w:t>
      </w:r>
    </w:p>
    <w:p w14:paraId="2A050EE7" w14:textId="3A2B086D" w:rsidR="00B30680" w:rsidRPr="00A709FD" w:rsidRDefault="005E578F" w:rsidP="009121A9">
      <w:pPr>
        <w:widowControl w:val="0"/>
        <w:numPr>
          <w:ilvl w:val="0"/>
          <w:numId w:val="1"/>
        </w:numPr>
        <w:spacing w:line="400" w:lineRule="exact"/>
        <w:jc w:val="both"/>
        <w:rPr>
          <w:rFonts w:ascii="CIDFont+F1" w:eastAsia="CIDFont+F1" w:hAnsi="Times New Roman" w:cs="Times New Roman"/>
          <w:bCs/>
          <w:sz w:val="22"/>
        </w:rPr>
      </w:pPr>
      <w:r>
        <w:rPr>
          <w:rFonts w:ascii="CIDFont+F1" w:eastAsia="CIDFont+F1" w:hAnsi="Times New Roman" w:cs="Times New Roman"/>
          <w:bCs/>
          <w:noProof/>
          <w:sz w:val="22"/>
        </w:rPr>
        <w:drawing>
          <wp:anchor distT="0" distB="0" distL="114300" distR="114300" simplePos="0" relativeHeight="251664384" behindDoc="1" locked="0" layoutInCell="1" allowOverlap="1" wp14:anchorId="5C1176F1" wp14:editId="4F309081">
            <wp:simplePos x="0" y="0"/>
            <wp:positionH relativeFrom="column">
              <wp:posOffset>5454015</wp:posOffset>
            </wp:positionH>
            <wp:positionV relativeFrom="paragraph">
              <wp:posOffset>106680</wp:posOffset>
            </wp:positionV>
            <wp:extent cx="1677233" cy="1942630"/>
            <wp:effectExtent l="0" t="0" r="0" b="6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233" cy="194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80" w:rsidRPr="00A709FD">
        <w:rPr>
          <w:rFonts w:ascii="CIDFont+F1" w:eastAsia="CIDFont+F1" w:hAnsi="Times New Roman" w:cs="Times New Roman" w:hint="eastAsia"/>
          <w:b/>
          <w:sz w:val="22"/>
        </w:rPr>
        <w:t>主辦單位</w:t>
      </w:r>
      <w:r w:rsidR="00B30680" w:rsidRPr="00A709FD">
        <w:rPr>
          <w:rFonts w:ascii="CIDFont+F1" w:eastAsia="CIDFont+F1" w:hAnsi="Times New Roman" w:cs="Times New Roman" w:hint="eastAsia"/>
          <w:bCs/>
          <w:sz w:val="22"/>
        </w:rPr>
        <w:t>：台南市工業會、台南市中小工業服務中心</w:t>
      </w:r>
    </w:p>
    <w:p w14:paraId="1F1984D8" w14:textId="1F315156" w:rsidR="00B30680" w:rsidRPr="00A709FD" w:rsidRDefault="00B30680" w:rsidP="009121A9">
      <w:pPr>
        <w:widowControl w:val="0"/>
        <w:numPr>
          <w:ilvl w:val="0"/>
          <w:numId w:val="1"/>
        </w:numPr>
        <w:spacing w:line="40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報名方式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：詳填以下報名表連同繳費證明，傳真或郵寄至台南市工業會，並請來電確認。</w:t>
      </w:r>
    </w:p>
    <w:p w14:paraId="310A0C8A" w14:textId="54C80D96" w:rsidR="00B30680" w:rsidRPr="00A709FD" w:rsidRDefault="00B30680" w:rsidP="009121A9">
      <w:pPr>
        <w:widowControl w:val="0"/>
        <w:numPr>
          <w:ilvl w:val="0"/>
          <w:numId w:val="1"/>
        </w:numPr>
        <w:spacing w:line="40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上課地點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：勞工育樂中心第二教室（台南市南區南門路261號）</w:t>
      </w:r>
    </w:p>
    <w:p w14:paraId="698FDB34" w14:textId="16605EA6" w:rsidR="00B30680" w:rsidRPr="00A709FD" w:rsidRDefault="00B30680" w:rsidP="009121A9">
      <w:pPr>
        <w:widowControl w:val="0"/>
        <w:numPr>
          <w:ilvl w:val="0"/>
          <w:numId w:val="1"/>
        </w:numPr>
        <w:spacing w:line="40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招生人數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</w:t>
      </w:r>
      <w:r w:rsidR="001A5758" w:rsidRPr="00A709FD">
        <w:rPr>
          <w:rFonts w:ascii="CIDFont+F1" w:eastAsia="CIDFont+F1" w:hAnsi="Times New Roman" w:cs="Times New Roman" w:hint="eastAsia"/>
          <w:bCs/>
          <w:sz w:val="22"/>
        </w:rPr>
        <w:t>5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0人(名額有限，額滿為止)</w:t>
      </w:r>
    </w:p>
    <w:p w14:paraId="4ED94842" w14:textId="5B76EB06" w:rsidR="00F908A8" w:rsidRPr="00A709FD" w:rsidRDefault="00B30680" w:rsidP="009121A9">
      <w:pPr>
        <w:widowControl w:val="0"/>
        <w:numPr>
          <w:ilvl w:val="0"/>
          <w:numId w:val="1"/>
        </w:numPr>
        <w:spacing w:line="40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繳費方式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：郵寄現金袋或郵政劃撥 (劃撥帳號:31399434戶名:台南市工業會)</w:t>
      </w:r>
      <w:r w:rsidR="00C41BF5" w:rsidRPr="00A709FD">
        <w:rPr>
          <w:rFonts w:ascii="CIDFont+F1" w:eastAsia="CIDFont+F1" w:hAnsi="Times New Roman" w:cs="Times New Roman" w:hint="eastAsia"/>
          <w:bCs/>
          <w:sz w:val="22"/>
        </w:rPr>
        <w:br/>
      </w:r>
      <w:r w:rsidR="00F908A8" w:rsidRPr="00A709FD">
        <w:rPr>
          <w:rFonts w:ascii="CIDFont+F1" w:eastAsia="CIDFont+F1" w:hAnsi="Times New Roman" w:cs="Times New Roman" w:hint="eastAsia"/>
          <w:bCs/>
          <w:sz w:val="22"/>
        </w:rPr>
        <w:t xml:space="preserve">          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為避免資源浪費，報名後若不克參加酌收手續費10%</w:t>
      </w:r>
      <w:r w:rsidR="0011457E" w:rsidRPr="00A709FD">
        <w:rPr>
          <w:rFonts w:ascii="CIDFont+F1" w:eastAsia="CIDFont+F1" w:hAnsi="Times New Roman" w:cs="Times New Roman" w:hint="eastAsia"/>
          <w:bCs/>
          <w:sz w:val="22"/>
        </w:rPr>
        <w:t>。</w:t>
      </w:r>
    </w:p>
    <w:p w14:paraId="034E5A80" w14:textId="4ED7D30A" w:rsidR="0016252A" w:rsidRPr="00A709FD" w:rsidRDefault="00F908A8" w:rsidP="009121A9">
      <w:pPr>
        <w:widowControl w:val="0"/>
        <w:spacing w:line="400" w:lineRule="exact"/>
        <w:ind w:left="480"/>
        <w:jc w:val="both"/>
        <w:rPr>
          <w:rFonts w:ascii="CIDFont+F1" w:eastAsia="CIDFont+F1" w:hAnsi="Times New Roman" w:cs="Times New Roman"/>
          <w:bCs/>
          <w:sz w:val="22"/>
          <w:u w:val="single"/>
        </w:rPr>
      </w:pPr>
      <w:r w:rsidRPr="00A709FD">
        <w:rPr>
          <w:rFonts w:ascii="CIDFont+F1" w:eastAsia="CIDFont+F1" w:hAnsi="Times New Roman" w:cs="Times New Roman" w:hint="eastAsia"/>
          <w:bCs/>
          <w:sz w:val="22"/>
        </w:rPr>
        <w:t xml:space="preserve">          </w:t>
      </w:r>
      <w:r w:rsidR="001468AD" w:rsidRPr="00A709FD">
        <w:rPr>
          <w:rFonts w:ascii="CIDFont+F1" w:eastAsia="CIDFont+F1" w:hAnsi="Times New Roman" w:cs="Times New Roman" w:hint="eastAsia"/>
          <w:bCs/>
          <w:sz w:val="22"/>
          <w:u w:val="single"/>
        </w:rPr>
        <w:t>上課前請先完成匯款，未完成者自動取消報名。</w:t>
      </w:r>
    </w:p>
    <w:p w14:paraId="7FA42DCF" w14:textId="1FDF8C17" w:rsidR="00B30680" w:rsidRPr="00A709FD" w:rsidRDefault="00B30680" w:rsidP="009121A9">
      <w:pPr>
        <w:pStyle w:val="af0"/>
        <w:widowControl w:val="0"/>
        <w:numPr>
          <w:ilvl w:val="0"/>
          <w:numId w:val="6"/>
        </w:numPr>
        <w:spacing w:line="400" w:lineRule="exact"/>
        <w:ind w:leftChars="0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聯絡方式：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電話：06-2136711   傳真：06-2139309  聯絡人：</w:t>
      </w:r>
      <w:r w:rsidR="00376C55" w:rsidRPr="00A709FD">
        <w:rPr>
          <w:rFonts w:ascii="CIDFont+F1" w:eastAsia="CIDFont+F1" w:hAnsi="Times New Roman" w:cs="Times New Roman" w:hint="eastAsia"/>
          <w:bCs/>
          <w:sz w:val="22"/>
        </w:rPr>
        <w:t>陳</w:t>
      </w:r>
      <w:r w:rsidR="00D5013D" w:rsidRPr="00A709FD">
        <w:rPr>
          <w:rFonts w:ascii="CIDFont+F1" w:eastAsia="CIDFont+F1" w:hAnsi="Times New Roman" w:cs="Times New Roman" w:hint="eastAsia"/>
          <w:bCs/>
          <w:sz w:val="22"/>
        </w:rPr>
        <w:t>鴻萱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小姐</w:t>
      </w:r>
    </w:p>
    <w:p w14:paraId="0CDDA87D" w14:textId="3BE84717" w:rsidR="00152C35" w:rsidRPr="00A709FD" w:rsidRDefault="00B30680" w:rsidP="009121A9">
      <w:pPr>
        <w:pStyle w:val="af0"/>
        <w:widowControl w:val="0"/>
        <w:numPr>
          <w:ilvl w:val="0"/>
          <w:numId w:val="8"/>
        </w:numPr>
        <w:spacing w:line="400" w:lineRule="exact"/>
        <w:ind w:leftChars="0"/>
        <w:jc w:val="both"/>
        <w:rPr>
          <w:rFonts w:ascii="CIDFont+F1" w:eastAsia="CIDFont+F1" w:hAnsi="Times New Roman" w:cs="Times New Roman"/>
          <w:b/>
          <w:color w:val="0000FF"/>
          <w:sz w:val="22"/>
        </w:rPr>
      </w:pPr>
      <w:r w:rsidRPr="00A709FD">
        <w:rPr>
          <w:rFonts w:ascii="CIDFont+F1" w:eastAsia="CIDFont+F1" w:hAnsi="Times New Roman" w:cs="Times New Roman" w:hint="eastAsia"/>
          <w:b/>
          <w:color w:val="0000FF"/>
          <w:sz w:val="22"/>
          <w:u w:val="single"/>
        </w:rPr>
        <w:t>附則：1.本會保有課程更動之權利，如不便之處請見諒。2.為了響應環保，請自備環保杯。</w:t>
      </w:r>
    </w:p>
    <w:p w14:paraId="70B0D973" w14:textId="77777777" w:rsidR="008C261A" w:rsidRPr="00A709FD" w:rsidRDefault="0016252A" w:rsidP="009121A9">
      <w:pPr>
        <w:widowControl w:val="0"/>
        <w:snapToGrid w:val="0"/>
        <w:spacing w:line="400" w:lineRule="exact"/>
        <w:jc w:val="both"/>
        <w:rPr>
          <w:rFonts w:ascii="CIDFont+F1" w:eastAsia="CIDFont+F1" w:hAnsi="Times New Roman" w:cs="Times New Roman"/>
          <w:b/>
          <w:sz w:val="22"/>
          <w:shd w:val="pct15" w:color="auto" w:fill="FFFFFF"/>
        </w:rPr>
      </w:pPr>
      <w:r w:rsidRPr="00A709FD">
        <w:rPr>
          <w:rFonts w:ascii="CIDFont+F1" w:eastAsia="CIDFont+F1" w:hAnsi="Times New Roman" w:cs="Times New Roman" w:hint="eastAsia"/>
          <w:b/>
          <w:sz w:val="22"/>
          <w:shd w:val="pct15" w:color="auto" w:fill="FFFFFF"/>
        </w:rPr>
        <w:t>煩請臨時有事不克參加之學員，務必來電取消，以免造成困擾，若未來電取消將暫停下次課程報名!!!請各位學員注意</w:t>
      </w:r>
    </w:p>
    <w:p w14:paraId="5527F87B" w14:textId="605011E0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503CC73D" w:rsidR="00D56D47" w:rsidRPr="00774F9C" w:rsidRDefault="00017F01" w:rsidP="00EB3956">
      <w:pPr>
        <w:snapToGrid w:val="0"/>
        <w:spacing w:line="440" w:lineRule="exact"/>
        <w:jc w:val="center"/>
        <w:rPr>
          <w:rFonts w:ascii="CIDFont+F1" w:eastAsia="CIDFont+F1" w:hAnsi="標楷體" w:cs="Times New Roman"/>
          <w:b/>
          <w:kern w:val="0"/>
          <w:sz w:val="28"/>
          <w:szCs w:val="28"/>
        </w:rPr>
      </w:pP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〈</w:t>
      </w:r>
      <w:r w:rsidR="00D5013D" w:rsidRPr="00774F9C">
        <w:rPr>
          <w:rFonts w:ascii="CIDFont+F1" w:eastAsia="CIDFont+F1" w:cs="CIDFont+F2" w:hint="eastAsia"/>
          <w:b/>
          <w:bCs/>
          <w:kern w:val="0"/>
          <w:sz w:val="28"/>
          <w:szCs w:val="28"/>
        </w:rPr>
        <w:t>產品訂價作業實務</w:t>
      </w: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〉</w:t>
      </w:r>
      <w:r w:rsidR="00D56D47" w:rsidRPr="00774F9C">
        <w:rPr>
          <w:rFonts w:ascii="CIDFont+F1" w:eastAsia="CIDFont+F1" w:hAnsi="Times New Roman" w:cs="Times New Roman" w:hint="eastAsia"/>
          <w:b/>
          <w:sz w:val="28"/>
          <w:szCs w:val="28"/>
        </w:rPr>
        <w:t>講習會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7A4953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.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0</w:t>
      </w:r>
      <w:r w:rsidR="001A5758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3</w:t>
      </w:r>
      <w:r w:rsidR="00FD7836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.</w:t>
      </w:r>
      <w:r w:rsidR="00D5013D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25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581"/>
        <w:gridCol w:w="1766"/>
        <w:gridCol w:w="2630"/>
      </w:tblGrid>
      <w:tr w:rsidR="00E345DB" w:rsidRPr="00A34030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備         註</w:t>
            </w:r>
          </w:p>
        </w:tc>
      </w:tr>
      <w:tr w:rsidR="00E345DB" w:rsidRPr="00A34030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6B6D357E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A34030" w:rsidRDefault="00E345DB" w:rsidP="00E5270F">
            <w:pPr>
              <w:snapToGrid w:val="0"/>
              <w:spacing w:line="26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5234B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4C8745EF" w14:textId="77777777" w:rsidR="00E345DB" w:rsidRPr="00A34030" w:rsidRDefault="00E345DB" w:rsidP="00E5270F">
            <w:pPr>
              <w:snapToGrid w:val="0"/>
              <w:spacing w:line="26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63FBA9B" w14:textId="77777777" w:rsidTr="00590E38">
        <w:trPr>
          <w:trHeight w:val="447"/>
        </w:trPr>
        <w:tc>
          <w:tcPr>
            <w:tcW w:w="1436" w:type="pct"/>
            <w:vAlign w:val="center"/>
          </w:tcPr>
          <w:p w14:paraId="278FE18C" w14:textId="77777777" w:rsidR="00E345DB" w:rsidRPr="00A34030" w:rsidRDefault="00E345DB" w:rsidP="00E5213D">
            <w:pPr>
              <w:snapToGrid w:val="0"/>
              <w:spacing w:line="340" w:lineRule="exact"/>
              <w:jc w:val="distribute"/>
              <w:rPr>
                <w:rFonts w:ascii="CIDFont+F1" w:eastAsia="CIDFont+F1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14:paraId="55CC797F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A34030" w:rsidRDefault="00E345DB" w:rsidP="00E5270F">
            <w:pPr>
              <w:snapToGrid w:val="0"/>
              <w:spacing w:line="26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傳   真</w:t>
            </w:r>
          </w:p>
        </w:tc>
        <w:tc>
          <w:tcPr>
            <w:tcW w:w="1175" w:type="pct"/>
          </w:tcPr>
          <w:p w14:paraId="4BB97EBB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03ECE732" w14:textId="77777777" w:rsidTr="00590E38">
        <w:trPr>
          <w:trHeight w:val="426"/>
        </w:trPr>
        <w:tc>
          <w:tcPr>
            <w:tcW w:w="1436" w:type="pct"/>
            <w:vAlign w:val="center"/>
          </w:tcPr>
          <w:p w14:paraId="75E68AA5" w14:textId="77777777" w:rsidR="00E345DB" w:rsidRPr="00A34030" w:rsidRDefault="00E345DB" w:rsidP="00E5213D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A34030" w:rsidRDefault="00E345DB" w:rsidP="00E5213D">
            <w:pPr>
              <w:snapToGrid w:val="0"/>
              <w:spacing w:line="26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章</w:t>
            </w:r>
          </w:p>
        </w:tc>
        <w:tc>
          <w:tcPr>
            <w:tcW w:w="1175" w:type="pct"/>
          </w:tcPr>
          <w:p w14:paraId="546A0FCC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</w:tbl>
    <w:p w14:paraId="62A05164" w14:textId="1471BCB5" w:rsidR="009B1A0B" w:rsidRDefault="0098270B" w:rsidP="004D54B3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1A3F96">
        <w:rPr>
          <w:rFonts w:ascii="華康粗黑體" w:eastAsia="華康粗黑體" w:hAnsi="華康粗黑體" w:cs="Times New Roman" w:hint="eastAsia"/>
          <w:sz w:val="28"/>
          <w:szCs w:val="36"/>
        </w:rPr>
        <w:t>縣市合併後，我們擴大服務範圍</w: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4"/>
      </w:tblGrid>
      <w:tr w:rsidR="009B1A0B" w14:paraId="015DD376" w14:textId="77777777" w:rsidTr="009B1A0B">
        <w:tc>
          <w:tcPr>
            <w:tcW w:w="10764" w:type="dxa"/>
          </w:tcPr>
          <w:p w14:paraId="724CA4DE" w14:textId="3721EEC5" w:rsidR="009B1A0B" w:rsidRPr="009B1A0B" w:rsidRDefault="009B1A0B" w:rsidP="009B1A0B">
            <w:pPr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lastRenderedPageBreak/>
              <w:t>課程大綱</w:t>
            </w:r>
          </w:p>
        </w:tc>
      </w:tr>
      <w:tr w:rsidR="009B1A0B" w14:paraId="3A77D9C8" w14:textId="77777777" w:rsidTr="009B1A0B">
        <w:tc>
          <w:tcPr>
            <w:tcW w:w="10764" w:type="dxa"/>
          </w:tcPr>
          <w:p w14:paraId="12AAAA75" w14:textId="6A5DCE66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一、經濟環境與產品損益分析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1.財經局勢演變2.競爭力分析3.By訂單別損益分析4.提高銷量與提高售價5.調整產品組合結構與薄利多銷</w:t>
            </w:r>
          </w:p>
          <w:p w14:paraId="2544D194" w14:textId="1B3E17B0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Cs w:val="24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二、主要產品訂價方法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1.成本加成法2.邊際貢獻訂價法</w:t>
            </w:r>
          </w:p>
          <w:p w14:paraId="3046544A" w14:textId="3D35909F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szCs w:val="24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三、依交易條件不同之訂價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1.現金價期票價2.目的地交貨與工廠交貨;含不同運輸工具報價3.依受訂量大小訂價4.依市場區隔與差異化訂價</w:t>
            </w:r>
          </w:p>
          <w:p w14:paraId="0C78891B" w14:textId="739CAD73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Cs w:val="24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四、依品級與品牌不同訂價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1.品級不同的訂價2.品牌不同的訂價</w:t>
            </w:r>
          </w:p>
          <w:p w14:paraId="41AEBF39" w14:textId="0855E79C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五、外銷產品訂價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1.出廠成本+附加費用+利潤2.FOB,C&amp;F,CIF價格條件訂價3.報價幣別選擇與轉換</w:t>
            </w:r>
          </w:p>
          <w:p w14:paraId="642B933B" w14:textId="55C27ED8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六、最高訂價與最低訂價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1.計算公式與案例解說2.最低售價至少須cover變動成本3.經銷、批發、零售與末端價4.訂價不等於售價;售價不等於成交價</w:t>
            </w:r>
          </w:p>
          <w:p w14:paraId="4AE7680C" w14:textId="57416BEE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七、新產品訂價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1.(RD費用+權利金之Allocate)+成本加成2.新產品成本預計3.新產品生命周期訂價4.新產品訂價是否包括RD失敗成本?</w:t>
            </w:r>
          </w:p>
          <w:p w14:paraId="2A13A76F" w14:textId="589D3701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szCs w:val="24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八、調價方法與策略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1.BY產品、客戶與訂單別邊際貢獻計算2.變動成本/銷售量+原料成本漲幅+匯率費率調幅=最低售價3.提高銷售量降低單位固定成本，反映在降價上薄利多銷4.增加銷量設算降價幅度</w:t>
            </w:r>
          </w:p>
          <w:p w14:paraId="50DAE0BF" w14:textId="78BE0AC2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九、折扣與促銷策略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1.忠誠折扣,擔保折扣與促銷折扣週年慶2.折扣、促銷並未降牌價3.無邊際貢獻不宜實施降價4.折扣、促銷效益分析</w:t>
            </w:r>
          </w:p>
          <w:p w14:paraId="34CAFDB2" w14:textId="1670B3CD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szCs w:val="24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十、設計電腦程式產生自動報價機制</w:t>
            </w:r>
            <w:r w:rsidRPr="009B1A0B">
              <w:rPr>
                <w:rFonts w:ascii="CIDFont+F1" w:eastAsia="CIDFont+F1" w:hAnsi="標楷體" w:cs="Times New Roman" w:hint="eastAsia"/>
                <w:szCs w:val="24"/>
              </w:rPr>
              <w:t>1.報價作業核決流程與報價單Form2.電腦自動報價系統設計與資料抓取</w:t>
            </w:r>
          </w:p>
          <w:p w14:paraId="0785FE42" w14:textId="6A7370A0" w:rsidR="009B1A0B" w:rsidRPr="009B1A0B" w:rsidRDefault="009B1A0B" w:rsidP="009B1A0B">
            <w:pPr>
              <w:jc w:val="both"/>
              <w:rPr>
                <w:rFonts w:ascii="CIDFont+F1" w:eastAsia="CIDFont+F1" w:hAnsi="標楷體" w:cs="Times New Roman"/>
                <w:b/>
                <w:bCs/>
                <w:sz w:val="28"/>
                <w:szCs w:val="28"/>
              </w:rPr>
            </w:pPr>
            <w:r w:rsidRPr="009B1A0B">
              <w:rPr>
                <w:rFonts w:ascii="CIDFont+F1" w:eastAsia="CIDFont+F1" w:hAnsi="標楷體" w:cs="Times New Roman" w:hint="eastAsia"/>
                <w:b/>
                <w:bCs/>
                <w:sz w:val="28"/>
                <w:szCs w:val="28"/>
              </w:rPr>
              <w:t>十一、Q &amp; A</w:t>
            </w:r>
          </w:p>
        </w:tc>
      </w:tr>
    </w:tbl>
    <w:p w14:paraId="2F4217EF" w14:textId="77777777" w:rsidR="00862658" w:rsidRPr="00CA5F5E" w:rsidRDefault="00862658" w:rsidP="009B1A0B">
      <w:pPr>
        <w:spacing w:line="220" w:lineRule="exact"/>
        <w:rPr>
          <w:rFonts w:ascii="標楷體" w:eastAsia="標楷體" w:hAnsi="標楷體" w:cs="Times New Roman"/>
          <w:b/>
          <w:bCs/>
          <w:sz w:val="16"/>
          <w:szCs w:val="16"/>
        </w:rPr>
      </w:pPr>
    </w:p>
    <w:sectPr w:rsidR="00862658" w:rsidRPr="00CA5F5E" w:rsidSect="004A524C">
      <w:pgSz w:w="11906" w:h="16838"/>
      <w:pgMar w:top="709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41C9"/>
    <w:multiLevelType w:val="hybridMultilevel"/>
    <w:tmpl w:val="243C6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32EAA"/>
    <w:rsid w:val="00037676"/>
    <w:rsid w:val="00057B21"/>
    <w:rsid w:val="00070E25"/>
    <w:rsid w:val="000717AD"/>
    <w:rsid w:val="00072CA9"/>
    <w:rsid w:val="000747FF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1D19"/>
    <w:rsid w:val="000F4A91"/>
    <w:rsid w:val="0010270D"/>
    <w:rsid w:val="00105B0D"/>
    <w:rsid w:val="00105BA1"/>
    <w:rsid w:val="001062F6"/>
    <w:rsid w:val="0011457E"/>
    <w:rsid w:val="00121CE7"/>
    <w:rsid w:val="00123656"/>
    <w:rsid w:val="00131CAD"/>
    <w:rsid w:val="001338FD"/>
    <w:rsid w:val="00137FAD"/>
    <w:rsid w:val="00145C6F"/>
    <w:rsid w:val="001468AD"/>
    <w:rsid w:val="00150D28"/>
    <w:rsid w:val="0015222F"/>
    <w:rsid w:val="00152C35"/>
    <w:rsid w:val="001552A7"/>
    <w:rsid w:val="00160D11"/>
    <w:rsid w:val="0016252A"/>
    <w:rsid w:val="00172163"/>
    <w:rsid w:val="0017476B"/>
    <w:rsid w:val="001902A0"/>
    <w:rsid w:val="00191E65"/>
    <w:rsid w:val="001A2E4E"/>
    <w:rsid w:val="001A3F96"/>
    <w:rsid w:val="001A5758"/>
    <w:rsid w:val="001A7756"/>
    <w:rsid w:val="001B5482"/>
    <w:rsid w:val="001B678D"/>
    <w:rsid w:val="001C64C6"/>
    <w:rsid w:val="001D2521"/>
    <w:rsid w:val="001D2EC4"/>
    <w:rsid w:val="001D4E4F"/>
    <w:rsid w:val="001D7170"/>
    <w:rsid w:val="001E00E0"/>
    <w:rsid w:val="001E356C"/>
    <w:rsid w:val="001F036C"/>
    <w:rsid w:val="001F190D"/>
    <w:rsid w:val="001F278E"/>
    <w:rsid w:val="001F6039"/>
    <w:rsid w:val="0020472D"/>
    <w:rsid w:val="00207A86"/>
    <w:rsid w:val="002104EB"/>
    <w:rsid w:val="002105FB"/>
    <w:rsid w:val="00232641"/>
    <w:rsid w:val="002345D8"/>
    <w:rsid w:val="00236AC1"/>
    <w:rsid w:val="0024536C"/>
    <w:rsid w:val="0025709F"/>
    <w:rsid w:val="00263483"/>
    <w:rsid w:val="00272364"/>
    <w:rsid w:val="002A43F8"/>
    <w:rsid w:val="002C79B9"/>
    <w:rsid w:val="002D3BED"/>
    <w:rsid w:val="002F420F"/>
    <w:rsid w:val="002F6897"/>
    <w:rsid w:val="00307222"/>
    <w:rsid w:val="00310442"/>
    <w:rsid w:val="00322731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B31E0"/>
    <w:rsid w:val="003B40BA"/>
    <w:rsid w:val="003B60EF"/>
    <w:rsid w:val="003C2F3A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2777"/>
    <w:rsid w:val="004247DF"/>
    <w:rsid w:val="0042558A"/>
    <w:rsid w:val="00431795"/>
    <w:rsid w:val="00445C8C"/>
    <w:rsid w:val="00451E68"/>
    <w:rsid w:val="004533BC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524C"/>
    <w:rsid w:val="004A5FAC"/>
    <w:rsid w:val="004A6989"/>
    <w:rsid w:val="004A7339"/>
    <w:rsid w:val="004B31C0"/>
    <w:rsid w:val="004B4563"/>
    <w:rsid w:val="004B59E3"/>
    <w:rsid w:val="004B5CF7"/>
    <w:rsid w:val="004B76BE"/>
    <w:rsid w:val="004C1677"/>
    <w:rsid w:val="004D0343"/>
    <w:rsid w:val="004D54B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273C"/>
    <w:rsid w:val="00533F4A"/>
    <w:rsid w:val="00545B7F"/>
    <w:rsid w:val="00560683"/>
    <w:rsid w:val="00561C3B"/>
    <w:rsid w:val="005638B4"/>
    <w:rsid w:val="005733A4"/>
    <w:rsid w:val="00574185"/>
    <w:rsid w:val="0058150D"/>
    <w:rsid w:val="00581892"/>
    <w:rsid w:val="00590E38"/>
    <w:rsid w:val="0059136A"/>
    <w:rsid w:val="00595690"/>
    <w:rsid w:val="005C3468"/>
    <w:rsid w:val="005D4651"/>
    <w:rsid w:val="005D4A0D"/>
    <w:rsid w:val="005D7AD9"/>
    <w:rsid w:val="005E578F"/>
    <w:rsid w:val="005F4895"/>
    <w:rsid w:val="005F6CD5"/>
    <w:rsid w:val="005F7C07"/>
    <w:rsid w:val="006241CB"/>
    <w:rsid w:val="00635960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6098"/>
    <w:rsid w:val="006D637B"/>
    <w:rsid w:val="006E174C"/>
    <w:rsid w:val="0070538B"/>
    <w:rsid w:val="0070704F"/>
    <w:rsid w:val="00712FB2"/>
    <w:rsid w:val="0072570C"/>
    <w:rsid w:val="0073057D"/>
    <w:rsid w:val="00742D36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7C2A"/>
    <w:rsid w:val="007A3A30"/>
    <w:rsid w:val="007A4953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3225"/>
    <w:rsid w:val="008603C0"/>
    <w:rsid w:val="00861D2D"/>
    <w:rsid w:val="00862658"/>
    <w:rsid w:val="00873130"/>
    <w:rsid w:val="008804A4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61A"/>
    <w:rsid w:val="008C2D58"/>
    <w:rsid w:val="008C4BC2"/>
    <w:rsid w:val="008E0469"/>
    <w:rsid w:val="008E646B"/>
    <w:rsid w:val="008F17D5"/>
    <w:rsid w:val="008F5BF3"/>
    <w:rsid w:val="008F5CC3"/>
    <w:rsid w:val="00902841"/>
    <w:rsid w:val="00902A48"/>
    <w:rsid w:val="00902A94"/>
    <w:rsid w:val="00903654"/>
    <w:rsid w:val="009121A9"/>
    <w:rsid w:val="00915FA7"/>
    <w:rsid w:val="009263DD"/>
    <w:rsid w:val="00933C3C"/>
    <w:rsid w:val="00934838"/>
    <w:rsid w:val="009359C8"/>
    <w:rsid w:val="00944019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1A0B"/>
    <w:rsid w:val="009C1A92"/>
    <w:rsid w:val="009E37D5"/>
    <w:rsid w:val="009E4058"/>
    <w:rsid w:val="009F42F4"/>
    <w:rsid w:val="00A02333"/>
    <w:rsid w:val="00A23E5F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3C9A"/>
    <w:rsid w:val="00A97EDB"/>
    <w:rsid w:val="00AA30DC"/>
    <w:rsid w:val="00AA3B44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27B37"/>
    <w:rsid w:val="00B30680"/>
    <w:rsid w:val="00B36C8F"/>
    <w:rsid w:val="00B423D2"/>
    <w:rsid w:val="00B432A0"/>
    <w:rsid w:val="00B433F2"/>
    <w:rsid w:val="00B644AE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83A0E"/>
    <w:rsid w:val="00C90EFE"/>
    <w:rsid w:val="00C9539D"/>
    <w:rsid w:val="00CA5F5E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5013D"/>
    <w:rsid w:val="00D5062F"/>
    <w:rsid w:val="00D55092"/>
    <w:rsid w:val="00D5686C"/>
    <w:rsid w:val="00D56D47"/>
    <w:rsid w:val="00D61D0F"/>
    <w:rsid w:val="00D845CE"/>
    <w:rsid w:val="00D8604C"/>
    <w:rsid w:val="00D92754"/>
    <w:rsid w:val="00DA254E"/>
    <w:rsid w:val="00DA751B"/>
    <w:rsid w:val="00DC2B2A"/>
    <w:rsid w:val="00DC3831"/>
    <w:rsid w:val="00DD1983"/>
    <w:rsid w:val="00DD2FB2"/>
    <w:rsid w:val="00DD759E"/>
    <w:rsid w:val="00DE7AF2"/>
    <w:rsid w:val="00DF1E13"/>
    <w:rsid w:val="00E04169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60A5"/>
    <w:rsid w:val="00F8350A"/>
    <w:rsid w:val="00F908A8"/>
    <w:rsid w:val="00F916FB"/>
    <w:rsid w:val="00F92A45"/>
    <w:rsid w:val="00FA2E5D"/>
    <w:rsid w:val="00FB010F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131E-513B-40C3-8C85-80CFA3E5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1485</Characters>
  <Application>Microsoft Office Word</Application>
  <DocSecurity>0</DocSecurity>
  <Lines>12</Lines>
  <Paragraphs>3</Paragraphs>
  <ScaleCrop>false</ScaleCrop>
  <Company>user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鴻萱 陳</cp:lastModifiedBy>
  <cp:revision>22</cp:revision>
  <cp:lastPrinted>2022-02-08T02:00:00Z</cp:lastPrinted>
  <dcterms:created xsi:type="dcterms:W3CDTF">2022-02-08T01:10:00Z</dcterms:created>
  <dcterms:modified xsi:type="dcterms:W3CDTF">2022-02-08T02:07:00Z</dcterms:modified>
</cp:coreProperties>
</file>