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AD" w14:textId="1116E51F" w:rsidR="00890A58" w:rsidRPr="00105B0D" w:rsidRDefault="00617CE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5B4EFDD3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457148D8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46"/>
        <w:gridCol w:w="1641"/>
        <w:gridCol w:w="2820"/>
        <w:gridCol w:w="1002"/>
        <w:gridCol w:w="3553"/>
      </w:tblGrid>
      <w:tr w:rsidR="00E5270F" w:rsidRPr="007D5445" w14:paraId="595A4380" w14:textId="77777777" w:rsidTr="007213EF">
        <w:trPr>
          <w:trHeight w:val="609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607" w:type="dxa"/>
            <w:gridSpan w:val="3"/>
            <w:tcBorders>
              <w:top w:val="thickThinMediumGap" w:sz="18" w:space="0" w:color="auto"/>
            </w:tcBorders>
            <w:vAlign w:val="center"/>
          </w:tcPr>
          <w:p w14:paraId="68A40091" w14:textId="77777777" w:rsidR="004E0E03" w:rsidRDefault="003E2D3A" w:rsidP="00132ED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2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稅務實務案例解析</w:t>
            </w:r>
          </w:p>
          <w:p w14:paraId="0FE309B8" w14:textId="344C27EA" w:rsidR="00DE7AF2" w:rsidRPr="00B65756" w:rsidRDefault="003E2D3A" w:rsidP="00132ED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2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─營利事業所得稅申報及查核實</w:t>
            </w:r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13F89F07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2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0E567135" w:rsidR="00E5270F" w:rsidRPr="00F90D11" w:rsidRDefault="003E2D3A" w:rsidP="00AA58F3">
            <w:pPr>
              <w:spacing w:line="460" w:lineRule="exact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sz w:val="28"/>
              </w:rPr>
              <w:t>吳鳳琴</w:t>
            </w:r>
          </w:p>
        </w:tc>
      </w:tr>
      <w:tr w:rsidR="00E5270F" w:rsidRPr="007D5445" w14:paraId="74F96F27" w14:textId="77777777" w:rsidTr="007213EF">
        <w:trPr>
          <w:trHeight w:val="66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607" w:type="dxa"/>
            <w:gridSpan w:val="3"/>
            <w:vAlign w:val="center"/>
          </w:tcPr>
          <w:p w14:paraId="00C94CB1" w14:textId="52EC4133" w:rsidR="00E5270F" w:rsidRPr="002172DE" w:rsidRDefault="00E5270F" w:rsidP="00132EDB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39564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39564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2" w:type="dxa"/>
            <w:shd w:val="clear" w:color="auto" w:fill="EAF1DD" w:themeFill="accent3" w:themeFillTint="33"/>
            <w:vAlign w:val="center"/>
          </w:tcPr>
          <w:p w14:paraId="458FE476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2" w:type="dxa"/>
            <w:tcBorders>
              <w:right w:val="thinThickMediumGap" w:sz="18" w:space="0" w:color="auto"/>
            </w:tcBorders>
            <w:vAlign w:val="center"/>
          </w:tcPr>
          <w:p w14:paraId="3C3C6B9E" w14:textId="02F71AB1" w:rsidR="00E5270F" w:rsidRPr="000B43C3" w:rsidRDefault="00E5270F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</w:t>
            </w:r>
            <w:r w:rsidR="002952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:00</w:t>
            </w:r>
            <w:r w:rsidR="00EC3C98"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(0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564E" w:rsidRPr="007D5445" w14:paraId="3AD9A795" w14:textId="77777777" w:rsidTr="0039564E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522307AA" w14:textId="075347AA" w:rsidR="0039564E" w:rsidRDefault="0039564E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介紹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24E9DD40" w14:textId="1F597CD4" w:rsidR="0039564E" w:rsidRPr="0039564E" w:rsidRDefault="0039564E" w:rsidP="0039564E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39564E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營利事業所得稅的申報所涉及的主題又多又雜，本課程內容包含各項申報方式之差異比較及相關選查規定介紹，並就稽徵實務上營利事業申報常見錯誤及應注意事項做一完整介紹，期使能讓學員充分瞭解租稅法令之應用，以正確申報納稅，並結合案例以提供稅務實務經驗分享。</w:t>
            </w:r>
          </w:p>
        </w:tc>
      </w:tr>
      <w:tr w:rsidR="00AA58F3" w:rsidRPr="007D5445" w14:paraId="4E7ED5D8" w14:textId="77777777" w:rsidTr="0039564E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29A2FAC2" w14:textId="0BC32639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7B0AA917" w14:textId="7C28A800" w:rsidR="0039564E" w:rsidRPr="0039564E" w:rsidRDefault="0039564E" w:rsidP="0039564E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39564E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一、營利事業所得稅各項申報比較及選查規定(一)暫繳申報、結算申報、清決算申報(二)擴大書審案件、會計師簽證查核案件(三)擴大書審純益率、所得額標準、同業利潤標準之比較</w:t>
            </w:r>
          </w:p>
          <w:p w14:paraId="49A8096F" w14:textId="438C95A7" w:rsidR="00AA58F3" w:rsidRPr="004B289A" w:rsidRDefault="0039564E" w:rsidP="0039564E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39564E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二、營利事業所得稅申報常見錯誤（一）資產負債表（二）損益表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 (</w:t>
            </w:r>
            <w:r w:rsidRPr="0039564E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三）其他</w:t>
            </w:r>
          </w:p>
        </w:tc>
      </w:tr>
      <w:tr w:rsidR="00151440" w:rsidRPr="007D5445" w14:paraId="0FA22CF6" w14:textId="77777777" w:rsidTr="007213EF">
        <w:trPr>
          <w:trHeight w:val="372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727423" w:rsidRDefault="00151440" w:rsidP="00132EDB">
            <w:pPr>
              <w:shd w:val="clear" w:color="auto" w:fill="FFFFFF"/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會員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643AD32A" w:rsidR="00A866E8" w:rsidRPr="00727423" w:rsidRDefault="00A866E8" w:rsidP="00132EDB">
            <w:pPr>
              <w:spacing w:line="500" w:lineRule="exact"/>
              <w:ind w:firstLineChars="100" w:firstLine="26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2742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7213EF">
        <w:trPr>
          <w:trHeight w:val="450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727423" w:rsidRDefault="00533F4A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非會員</w:t>
            </w:r>
          </w:p>
        </w:tc>
        <w:tc>
          <w:tcPr>
            <w:tcW w:w="1641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727423" w:rsidRDefault="00533F4A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C01CD0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</w:p>
        </w:tc>
        <w:tc>
          <w:tcPr>
            <w:tcW w:w="7374" w:type="dxa"/>
            <w:gridSpan w:val="3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593F6DE1" w:rsidR="00533F4A" w:rsidRPr="00727423" w:rsidRDefault="00533F4A" w:rsidP="00132ED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同公司報名</w:t>
            </w:r>
            <w:r w:rsidR="000153F6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第</w:t>
            </w:r>
            <w:r w:rsidR="009941EB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三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位以上享九折優惠</w:t>
            </w:r>
          </w:p>
        </w:tc>
      </w:tr>
    </w:tbl>
    <w:p w14:paraId="7ABBC978" w14:textId="278B43BA" w:rsidR="00B46348" w:rsidRPr="00727423" w:rsidRDefault="00B46348" w:rsidP="004E0E03">
      <w:pPr>
        <w:widowControl w:val="0"/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>報名前請先閱讀如下，以確保您的權益</w:t>
      </w:r>
    </w:p>
    <w:p w14:paraId="2A050EE7" w14:textId="19FA446F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主辦單位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：台南市工業會、台南市中小工業服務中心</w:t>
      </w:r>
    </w:p>
    <w:p w14:paraId="1F1984D8" w14:textId="544E097C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報名方式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：詳填以下報名表連同繳費證明，傳真或郵寄至台南市工業會，</w:t>
      </w:r>
      <w:r w:rsidR="006C71F6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請務必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來電確認</w:t>
      </w:r>
      <w:r w:rsidR="00DE273C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，以免影響自身權益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。</w:t>
      </w:r>
    </w:p>
    <w:p w14:paraId="310A0C8A" w14:textId="23865C60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上課地點</w:t>
      </w:r>
      <w:r w:rsidRPr="00727423">
        <w:rPr>
          <w:rFonts w:ascii="標楷體" w:eastAsia="標楷體" w:hAnsi="標楷體" w:cs="Times New Roman"/>
          <w:bCs/>
          <w:sz w:val="26"/>
          <w:szCs w:val="26"/>
          <w:shd w:val="pct15" w:color="auto" w:fill="FFFFFF"/>
        </w:rPr>
        <w:t>：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勞工育樂中心第二教室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（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台南市南區南門路261號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）</w:t>
      </w:r>
      <w:r w:rsidR="00C41DE4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，請勿跑至工業會</w:t>
      </w:r>
    </w:p>
    <w:p w14:paraId="698FDB34" w14:textId="554A3E76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招生人數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6C78A5" w:rsidRPr="00727423">
        <w:rPr>
          <w:rFonts w:ascii="標楷體" w:eastAsia="標楷體" w:hAnsi="標楷體" w:cs="Times New Roman"/>
          <w:bCs/>
          <w:sz w:val="26"/>
          <w:szCs w:val="26"/>
        </w:rPr>
        <w:t>50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人(名額有限，額滿為止)</w:t>
      </w:r>
    </w:p>
    <w:p w14:paraId="4ED94842" w14:textId="2821EBD9" w:rsidR="00F908A8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繳費方式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：郵寄現金袋或郵政劃撥 (劃撥帳號:31399434戶名:台南市工業會</w:t>
      </w:r>
    </w:p>
    <w:p w14:paraId="034E5A80" w14:textId="6242AC2F" w:rsidR="0016252A" w:rsidRPr="00727423" w:rsidRDefault="00F908A8" w:rsidP="00D22308">
      <w:pPr>
        <w:widowControl w:val="0"/>
        <w:spacing w:line="276" w:lineRule="auto"/>
        <w:ind w:left="480"/>
        <w:jc w:val="both"/>
        <w:rPr>
          <w:rFonts w:ascii="標楷體" w:eastAsia="標楷體" w:hAnsi="標楷體" w:cs="Times New Roman"/>
          <w:bCs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   </w:t>
      </w:r>
      <w:r w:rsidR="001468AD" w:rsidRPr="00727423">
        <w:rPr>
          <w:rFonts w:ascii="標楷體" w:eastAsia="標楷體" w:hAnsi="標楷體" w:cs="Times New Roman"/>
          <w:bCs/>
          <w:sz w:val="26"/>
          <w:szCs w:val="26"/>
          <w:u w:val="single"/>
        </w:rPr>
        <w:t>上課前請先完成匯款，未完成者自動取消報名。</w:t>
      </w:r>
    </w:p>
    <w:p w14:paraId="7FA42DCF" w14:textId="33453B22" w:rsidR="00B30680" w:rsidRPr="00E041C6" w:rsidRDefault="00B30680" w:rsidP="00D22308">
      <w:pPr>
        <w:pStyle w:val="af0"/>
        <w:widowControl w:val="0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聯絡方式：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電話：06-2136711   傳真：06-2139309  聯絡人：</w:t>
      </w:r>
      <w:r w:rsidR="00376C55" w:rsidRPr="00727423">
        <w:rPr>
          <w:rFonts w:ascii="標楷體" w:eastAsia="標楷體" w:hAnsi="標楷體" w:cs="Times New Roman" w:hint="eastAsia"/>
          <w:bCs/>
          <w:sz w:val="26"/>
          <w:szCs w:val="26"/>
        </w:rPr>
        <w:t>陳</w:t>
      </w:r>
      <w:r w:rsidR="004E0E03">
        <w:rPr>
          <w:rFonts w:ascii="標楷體" w:eastAsia="標楷體" w:hAnsi="標楷體" w:cs="Times New Roman" w:hint="eastAsia"/>
          <w:bCs/>
          <w:sz w:val="26"/>
          <w:szCs w:val="26"/>
        </w:rPr>
        <w:t>怡伶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小姐</w:t>
      </w:r>
      <w:r w:rsidR="00526FAF" w:rsidRPr="00E041C6">
        <w:rPr>
          <w:rFonts w:ascii="標楷體" w:eastAsia="標楷體" w:hAnsi="標楷體" w:cs="Times New Roman"/>
          <w:bCs/>
          <w:sz w:val="26"/>
          <w:szCs w:val="26"/>
        </w:rPr>
        <w:tab/>
      </w:r>
    </w:p>
    <w:p w14:paraId="587E55EF" w14:textId="06A05615" w:rsidR="00017F01" w:rsidRPr="00727423" w:rsidRDefault="00B30680" w:rsidP="00D22308">
      <w:pPr>
        <w:pStyle w:val="af0"/>
        <w:widowControl w:val="0"/>
        <w:numPr>
          <w:ilvl w:val="0"/>
          <w:numId w:val="8"/>
        </w:numPr>
        <w:spacing w:line="276" w:lineRule="auto"/>
        <w:ind w:leftChars="0"/>
        <w:jc w:val="both"/>
        <w:rPr>
          <w:rFonts w:ascii="標楷體" w:eastAsia="標楷體" w:hAnsi="標楷體" w:cs="Times New Roman"/>
          <w:b/>
          <w:color w:val="0000FF"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附則：1.本會保有課程更動之權利，如不便之處請見諒。</w:t>
      </w:r>
    </w:p>
    <w:p w14:paraId="0CDDA87D" w14:textId="0B8F4882" w:rsidR="00152C35" w:rsidRPr="00727423" w:rsidRDefault="00B30680" w:rsidP="00D22308">
      <w:pPr>
        <w:widowControl w:val="0"/>
        <w:spacing w:line="276" w:lineRule="auto"/>
        <w:jc w:val="both"/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</w:rPr>
        <w:t xml:space="preserve">          </w:t>
      </w: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2.</w:t>
      </w:r>
      <w:r w:rsidR="00AA58F3">
        <w:rPr>
          <w:rFonts w:ascii="標楷體" w:eastAsia="標楷體" w:hAnsi="標楷體" w:cs="Times New Roman" w:hint="eastAsia"/>
          <w:b/>
          <w:color w:val="0000FF"/>
          <w:sz w:val="26"/>
          <w:szCs w:val="26"/>
          <w:u w:val="single"/>
        </w:rPr>
        <w:t>疫情期間課程可能異動請隨時關注本會訊息~上課請配戴口罩</w:t>
      </w:r>
    </w:p>
    <w:p w14:paraId="5527F87B" w14:textId="1A0CE098" w:rsidR="00F201D9" w:rsidRPr="009C78C2" w:rsidRDefault="0016252A" w:rsidP="00D22308">
      <w:pPr>
        <w:widowControl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704D7651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4E0E03" w:rsidRPr="004E0E0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稅務實務案例解析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10.</w:t>
      </w:r>
      <w:r w:rsidR="004E0E03">
        <w:rPr>
          <w:rFonts w:ascii="Bookman Old Style" w:eastAsia="標楷體" w:hAnsi="Bookman Old Style" w:cs="Times New Roman" w:hint="eastAsia"/>
          <w:b/>
          <w:sz w:val="18"/>
          <w:szCs w:val="18"/>
        </w:rPr>
        <w:t>15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637D3D">
      <w:pgSz w:w="11906" w:h="16838"/>
      <w:pgMar w:top="851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D1B46724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564E"/>
    <w:rsid w:val="00397C73"/>
    <w:rsid w:val="003A1AB6"/>
    <w:rsid w:val="003A2D04"/>
    <w:rsid w:val="003A75A0"/>
    <w:rsid w:val="003B31E0"/>
    <w:rsid w:val="003B40BA"/>
    <w:rsid w:val="003B60EF"/>
    <w:rsid w:val="003C2F3A"/>
    <w:rsid w:val="003D3F91"/>
    <w:rsid w:val="003E2D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0E03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A49E9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1AF"/>
    <w:rsid w:val="00B27B37"/>
    <w:rsid w:val="00B30680"/>
    <w:rsid w:val="00B36C8F"/>
    <w:rsid w:val="00B423D2"/>
    <w:rsid w:val="00B427C5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2308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C0DC-B79D-435E-9525-4182BAD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>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鴻萱 陳</cp:lastModifiedBy>
  <cp:revision>5</cp:revision>
  <cp:lastPrinted>2021-08-31T02:04:00Z</cp:lastPrinted>
  <dcterms:created xsi:type="dcterms:W3CDTF">2021-08-31T02:09:00Z</dcterms:created>
  <dcterms:modified xsi:type="dcterms:W3CDTF">2021-08-31T02:23:00Z</dcterms:modified>
</cp:coreProperties>
</file>